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重庆市人民政府办公厅</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202</w:t>
      </w:r>
      <w:r>
        <w:rPr>
          <w:rFonts w:ascii="Times New Roman" w:hAnsi="Times New Roman" w:eastAsia="方正小标宋_GBK"/>
          <w:sz w:val="44"/>
          <w:szCs w:val="44"/>
        </w:rPr>
        <w:t>2</w:t>
      </w:r>
      <w:r>
        <w:rPr>
          <w:rFonts w:hint="eastAsia" w:ascii="Times New Roman" w:hAnsi="Times New Roman" w:eastAsia="方正小标宋_GBK"/>
          <w:sz w:val="44"/>
          <w:szCs w:val="44"/>
        </w:rPr>
        <w:t>年政府信息公开工作年度报告</w:t>
      </w:r>
    </w:p>
    <w:p>
      <w:pPr>
        <w:spacing w:line="600" w:lineRule="exact"/>
        <w:ind w:firstLine="640" w:firstLineChars="200"/>
        <w:rPr>
          <w:rFonts w:ascii="Times New Roman" w:hAnsi="Times New Roman" w:eastAsia="方正仿宋_GBK"/>
          <w:sz w:val="32"/>
          <w:szCs w:val="32"/>
        </w:rPr>
      </w:pP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根据《政府信息公开条例》和《中华人民共和国政府信息公开工作年度报告格式》规定，编制本报告。</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一、总体情况</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202</w:t>
      </w:r>
      <w:r>
        <w:rPr>
          <w:rFonts w:ascii="Times New Roman" w:hAnsi="Times New Roman" w:eastAsia="方正仿宋_GBK"/>
          <w:sz w:val="32"/>
          <w:szCs w:val="32"/>
        </w:rPr>
        <w:t>2</w:t>
      </w:r>
      <w:r>
        <w:rPr>
          <w:rFonts w:hint="eastAsia" w:ascii="Times New Roman" w:hAnsi="Times New Roman" w:eastAsia="方正仿宋_GBK"/>
          <w:sz w:val="32"/>
          <w:szCs w:val="32"/>
        </w:rPr>
        <w:t>年，重庆市人民政府办公厅坚持以习近平新时代中国特色社会主义思想为指导，坚持以人民为中心，持续深化政务公开，不断发挥以公开促落实、强监管功能。</w:t>
      </w:r>
    </w:p>
    <w:p>
      <w:pPr>
        <w:spacing w:line="600" w:lineRule="exact"/>
        <w:ind w:firstLine="640" w:firstLineChars="200"/>
        <w:rPr>
          <w:rFonts w:ascii="Times New Roman" w:hAnsi="Times New Roman" w:eastAsia="方正仿宋_GBK"/>
          <w:sz w:val="32"/>
          <w:szCs w:val="32"/>
          <w:lang w:val="en"/>
        </w:rPr>
      </w:pPr>
      <w:r>
        <w:rPr>
          <w:rFonts w:hint="eastAsia" w:ascii="Times New Roman" w:hAnsi="Times New Roman" w:eastAsia="方正楷体_GBK" w:cs="方正楷体_GBK"/>
          <w:color w:val="000000"/>
          <w:sz w:val="32"/>
          <w:szCs w:val="32"/>
        </w:rPr>
        <w:t>（一）主动公开持续深化。</w:t>
      </w:r>
      <w:r>
        <w:rPr>
          <w:rFonts w:hint="eastAsia" w:ascii="Times New Roman" w:hAnsi="Times New Roman" w:eastAsia="方正仿宋_GBK"/>
          <w:b/>
          <w:bCs/>
          <w:sz w:val="32"/>
          <w:szCs w:val="32"/>
        </w:rPr>
        <w:t>一是加强成渝地区双城经济圈建设信息公开。</w:t>
      </w:r>
      <w:r>
        <w:rPr>
          <w:rFonts w:hint="eastAsia" w:ascii="Times New Roman" w:hAnsi="Times New Roman" w:eastAsia="方正仿宋_GBK"/>
          <w:sz w:val="32"/>
          <w:szCs w:val="32"/>
        </w:rPr>
        <w:t>公开《成渝地区联手打造内陆开放高地方案》《成渝地区双城经济圈优化营商环境方案》等一批重大政策，公开《重庆都市圈发展规划》等重点专项规划</w:t>
      </w:r>
      <w:r>
        <w:rPr>
          <w:rFonts w:ascii="Times New Roman" w:hAnsi="Times New Roman" w:eastAsia="方正仿宋_GBK"/>
          <w:sz w:val="32"/>
          <w:szCs w:val="32"/>
        </w:rPr>
        <w:t>27</w:t>
      </w:r>
      <w:r>
        <w:rPr>
          <w:rFonts w:hint="eastAsia" w:ascii="Times New Roman" w:hAnsi="Times New Roman" w:eastAsia="方正仿宋_GBK"/>
          <w:sz w:val="32"/>
          <w:szCs w:val="32"/>
        </w:rPr>
        <w:t>个，累计公布“川渝通办”事项</w:t>
      </w:r>
      <w:r>
        <w:rPr>
          <w:rFonts w:ascii="Times New Roman" w:hAnsi="Times New Roman" w:eastAsia="方正仿宋_GBK"/>
          <w:sz w:val="32"/>
          <w:szCs w:val="32"/>
        </w:rPr>
        <w:t>311</w:t>
      </w:r>
      <w:r>
        <w:rPr>
          <w:rFonts w:hint="eastAsia" w:ascii="Times New Roman" w:hAnsi="Times New Roman" w:eastAsia="方正仿宋_GBK"/>
          <w:sz w:val="32"/>
          <w:szCs w:val="32"/>
        </w:rPr>
        <w:t>项。</w:t>
      </w:r>
      <w:r>
        <w:rPr>
          <w:rFonts w:hint="eastAsia" w:ascii="Times New Roman" w:hAnsi="Times New Roman" w:eastAsia="方正仿宋_GBK"/>
          <w:b/>
          <w:bCs/>
          <w:sz w:val="32"/>
          <w:szCs w:val="32"/>
        </w:rPr>
        <w:t>二是加强涉及市场主体信息公开。</w:t>
      </w:r>
      <w:r>
        <w:rPr>
          <w:rFonts w:hint="eastAsia" w:ascii="Times New Roman" w:hAnsi="Times New Roman" w:eastAsia="方正仿宋_GBK"/>
          <w:sz w:val="32"/>
          <w:szCs w:val="32"/>
        </w:rPr>
        <w:t>公开2022年度税费政策优惠指南、组合式税费优惠支持政策等各类减税降费信息</w:t>
      </w:r>
      <w:r>
        <w:rPr>
          <w:rFonts w:ascii="Times New Roman" w:hAnsi="Times New Roman" w:eastAsia="方正仿宋_GBK"/>
          <w:sz w:val="32"/>
          <w:szCs w:val="32"/>
        </w:rPr>
        <w:t>2000</w:t>
      </w:r>
      <w:r>
        <w:rPr>
          <w:rFonts w:hint="eastAsia" w:ascii="Times New Roman" w:hAnsi="Times New Roman" w:eastAsia="方正仿宋_GBK"/>
          <w:sz w:val="32"/>
          <w:szCs w:val="32"/>
        </w:rPr>
        <w:t>余条。推进水电气讯等与企业和群众生产生活密切相关的服务线上线下同步可办，优化配置“企业开办”等</w:t>
      </w:r>
      <w:r>
        <w:rPr>
          <w:rFonts w:ascii="Times New Roman" w:hAnsi="Times New Roman" w:eastAsia="方正仿宋_GBK"/>
          <w:sz w:val="32"/>
          <w:szCs w:val="32"/>
        </w:rPr>
        <w:t>67</w:t>
      </w:r>
      <w:r>
        <w:rPr>
          <w:rFonts w:hint="eastAsia" w:ascii="Times New Roman" w:hAnsi="Times New Roman" w:eastAsia="方正仿宋_GBK"/>
          <w:sz w:val="32"/>
          <w:szCs w:val="32"/>
        </w:rPr>
        <w:t>个主题集成套餐全程网办。</w:t>
      </w:r>
      <w:r>
        <w:rPr>
          <w:rFonts w:hint="eastAsia" w:ascii="Times New Roman" w:hAnsi="Times New Roman" w:eastAsia="方正仿宋_GBK"/>
          <w:b/>
          <w:bCs/>
          <w:sz w:val="32"/>
          <w:szCs w:val="32"/>
        </w:rPr>
        <w:t>三是加强涉及扩大有效投资的信息公开。</w:t>
      </w:r>
      <w:r>
        <w:rPr>
          <w:rFonts w:hint="eastAsia" w:ascii="Times New Roman" w:hAnsi="Times New Roman" w:eastAsia="方正仿宋_GBK"/>
          <w:sz w:val="32"/>
          <w:szCs w:val="32"/>
        </w:rPr>
        <w:t>及时公开我市“稳经济政策”，其中市级政策1</w:t>
      </w:r>
      <w:r>
        <w:rPr>
          <w:rFonts w:ascii="Times New Roman" w:hAnsi="Times New Roman" w:eastAsia="方正仿宋_GBK"/>
          <w:sz w:val="32"/>
          <w:szCs w:val="32"/>
        </w:rPr>
        <w:t>81</w:t>
      </w:r>
      <w:r>
        <w:rPr>
          <w:rFonts w:hint="eastAsia" w:ascii="Times New Roman" w:hAnsi="Times New Roman" w:eastAsia="方正仿宋_GBK"/>
          <w:sz w:val="32"/>
          <w:szCs w:val="32"/>
        </w:rPr>
        <w:t>条、区县级政策5</w:t>
      </w:r>
      <w:r>
        <w:rPr>
          <w:rFonts w:ascii="Times New Roman" w:hAnsi="Times New Roman" w:eastAsia="方正仿宋_GBK"/>
          <w:sz w:val="32"/>
          <w:szCs w:val="32"/>
        </w:rPr>
        <w:t>700</w:t>
      </w:r>
      <w:r>
        <w:rPr>
          <w:rFonts w:hint="eastAsia" w:ascii="Times New Roman" w:hAnsi="Times New Roman" w:eastAsia="方正仿宋_GBK"/>
          <w:sz w:val="32"/>
          <w:szCs w:val="32"/>
        </w:rPr>
        <w:t>余条。及时发布2022年重大建设项目清单，公开重大建设项目批准和实施信息</w:t>
      </w:r>
      <w:r>
        <w:rPr>
          <w:rFonts w:ascii="Times New Roman" w:hAnsi="Times New Roman" w:eastAsia="方正仿宋_GBK"/>
          <w:sz w:val="32"/>
          <w:szCs w:val="32"/>
        </w:rPr>
        <w:t>562</w:t>
      </w:r>
      <w:r>
        <w:rPr>
          <w:rFonts w:hint="eastAsia" w:ascii="Times New Roman" w:hAnsi="Times New Roman" w:eastAsia="方正仿宋_GBK"/>
          <w:sz w:val="32"/>
          <w:szCs w:val="32"/>
        </w:rPr>
        <w:t>条。依法落实重大行政决策公众参与制度，公开重大行政决策事项目录、重大决策草案，积极引导社会预期。</w:t>
      </w:r>
      <w:r>
        <w:rPr>
          <w:rFonts w:hint="eastAsia" w:ascii="Times New Roman" w:hAnsi="Times New Roman" w:eastAsia="方正仿宋_GBK"/>
          <w:b/>
          <w:bCs/>
          <w:sz w:val="32"/>
          <w:szCs w:val="32"/>
        </w:rPr>
        <w:t>四是紧扣条例落实做好重点信息公开。</w:t>
      </w:r>
      <w:r>
        <w:rPr>
          <w:rFonts w:hint="eastAsia" w:ascii="Times New Roman" w:hAnsi="Times New Roman" w:eastAsia="方正仿宋_GBK"/>
          <w:sz w:val="32"/>
          <w:szCs w:val="32"/>
        </w:rPr>
        <w:t>主动公开2</w:t>
      </w:r>
      <w:r>
        <w:rPr>
          <w:rFonts w:ascii="Times New Roman" w:hAnsi="Times New Roman" w:eastAsia="方正仿宋_GBK"/>
          <w:sz w:val="32"/>
          <w:szCs w:val="32"/>
        </w:rPr>
        <w:t>022</w:t>
      </w:r>
      <w:r>
        <w:rPr>
          <w:rFonts w:hint="eastAsia" w:ascii="Times New Roman" w:hAnsi="Times New Roman" w:eastAsia="方正仿宋_GBK"/>
          <w:sz w:val="32"/>
          <w:szCs w:val="32"/>
        </w:rPr>
        <w:t>年新制定的市政府规章</w:t>
      </w:r>
      <w:r>
        <w:rPr>
          <w:rFonts w:ascii="Times New Roman" w:hAnsi="Times New Roman" w:eastAsia="方正仿宋_GBK"/>
          <w:sz w:val="32"/>
          <w:szCs w:val="32"/>
        </w:rPr>
        <w:t>4</w:t>
      </w:r>
      <w:r>
        <w:rPr>
          <w:rFonts w:hint="eastAsia" w:ascii="Times New Roman" w:hAnsi="Times New Roman" w:eastAsia="方正仿宋_GBK"/>
          <w:sz w:val="32"/>
          <w:szCs w:val="32"/>
        </w:rPr>
        <w:t>件、市政府行政规范性文件</w:t>
      </w:r>
      <w:r>
        <w:rPr>
          <w:rFonts w:ascii="Times New Roman" w:hAnsi="Times New Roman" w:eastAsia="方正仿宋_GBK"/>
          <w:sz w:val="32"/>
          <w:szCs w:val="32"/>
        </w:rPr>
        <w:t>48</w:t>
      </w:r>
      <w:r>
        <w:rPr>
          <w:rFonts w:hint="eastAsia" w:ascii="Times New Roman" w:hAnsi="Times New Roman" w:eastAsia="方正仿宋_GBK"/>
          <w:sz w:val="32"/>
          <w:szCs w:val="32"/>
        </w:rPr>
        <w:t>件，公开市政府全体会议信息</w:t>
      </w:r>
      <w:r>
        <w:rPr>
          <w:rFonts w:ascii="Times New Roman" w:hAnsi="Times New Roman" w:eastAsia="方正仿宋_GBK"/>
          <w:sz w:val="32"/>
          <w:szCs w:val="32"/>
        </w:rPr>
        <w:t>2</w:t>
      </w:r>
      <w:r>
        <w:rPr>
          <w:rFonts w:hint="eastAsia" w:ascii="Times New Roman" w:hAnsi="Times New Roman" w:eastAsia="方正仿宋_GBK"/>
          <w:sz w:val="32"/>
          <w:szCs w:val="32"/>
          <w:lang w:val="en"/>
        </w:rPr>
        <w:t>条</w:t>
      </w:r>
      <w:r>
        <w:rPr>
          <w:rFonts w:hint="eastAsia" w:ascii="Times New Roman" w:hAnsi="Times New Roman" w:eastAsia="方正仿宋_GBK"/>
          <w:sz w:val="32"/>
          <w:szCs w:val="32"/>
        </w:rPr>
        <w:t>、常务会议信息</w:t>
      </w:r>
      <w:r>
        <w:rPr>
          <w:rFonts w:ascii="Times New Roman" w:hAnsi="Times New Roman" w:eastAsia="方正仿宋_GBK"/>
          <w:sz w:val="32"/>
          <w:szCs w:val="32"/>
        </w:rPr>
        <w:t>25</w:t>
      </w:r>
      <w:r>
        <w:rPr>
          <w:rFonts w:hint="eastAsia" w:ascii="Times New Roman" w:hAnsi="Times New Roman" w:eastAsia="方正仿宋_GBK"/>
          <w:sz w:val="32"/>
          <w:szCs w:val="32"/>
        </w:rPr>
        <w:t>条</w:t>
      </w:r>
      <w:r>
        <w:rPr>
          <w:rFonts w:hint="eastAsia" w:ascii="Times New Roman" w:hAnsi="Times New Roman" w:eastAsia="方正仿宋_GBK"/>
          <w:sz w:val="32"/>
          <w:szCs w:val="32"/>
          <w:lang w:val="en"/>
        </w:rPr>
        <w:t>，公开</w:t>
      </w:r>
      <w:r>
        <w:rPr>
          <w:rFonts w:hint="eastAsia" w:ascii="Times New Roman" w:hAnsi="Times New Roman" w:eastAsia="方正仿宋_GBK"/>
          <w:sz w:val="32"/>
          <w:szCs w:val="32"/>
        </w:rPr>
        <w:t>市政府办公厅预决算信息</w:t>
      </w:r>
      <w:r>
        <w:rPr>
          <w:rFonts w:ascii="Times New Roman" w:hAnsi="Times New Roman" w:eastAsia="方正仿宋_GBK"/>
          <w:sz w:val="32"/>
          <w:szCs w:val="32"/>
        </w:rPr>
        <w:t>5</w:t>
      </w:r>
      <w:r>
        <w:rPr>
          <w:rFonts w:hint="eastAsia" w:ascii="Times New Roman" w:hAnsi="Times New Roman" w:eastAsia="方正仿宋_GBK"/>
          <w:sz w:val="32"/>
          <w:szCs w:val="32"/>
        </w:rPr>
        <w:t>条，公开人大代表建议、政协委员提案复函</w:t>
      </w:r>
      <w:r>
        <w:rPr>
          <w:rFonts w:ascii="Times New Roman" w:hAnsi="Times New Roman" w:eastAsia="方正仿宋_GBK"/>
          <w:sz w:val="32"/>
          <w:szCs w:val="32"/>
        </w:rPr>
        <w:t>736</w:t>
      </w:r>
      <w:r>
        <w:rPr>
          <w:rFonts w:hint="eastAsia" w:ascii="Times New Roman" w:hAnsi="Times New Roman" w:eastAsia="方正仿宋_GBK"/>
          <w:sz w:val="32"/>
          <w:szCs w:val="32"/>
          <w:lang w:val="en"/>
        </w:rPr>
        <w:t>条</w:t>
      </w:r>
      <w:r>
        <w:rPr>
          <w:rFonts w:hint="eastAsia" w:ascii="Times New Roman" w:hAnsi="Times New Roman" w:eastAsia="方正仿宋_GBK"/>
          <w:sz w:val="32"/>
          <w:szCs w:val="32"/>
        </w:rPr>
        <w:t>。</w:t>
      </w:r>
      <w:r>
        <w:rPr>
          <w:rFonts w:hint="eastAsia" w:ascii="Times New Roman" w:hAnsi="Times New Roman" w:eastAsia="方正仿宋_GBK"/>
          <w:b/>
          <w:bCs/>
          <w:sz w:val="32"/>
          <w:szCs w:val="32"/>
        </w:rPr>
        <w:t>五是紧扣政策落地见效积极开展解读回应。</w:t>
      </w:r>
      <w:r>
        <w:rPr>
          <w:rFonts w:hint="eastAsia" w:ascii="Times New Roman" w:hAnsi="Times New Roman" w:eastAsia="方正仿宋_GBK"/>
          <w:sz w:val="32"/>
          <w:szCs w:val="32"/>
        </w:rPr>
        <w:t>强化实质性、形象化、通俗化解读，发布图表图解、动画、音频视频解读信息</w:t>
      </w:r>
      <w:r>
        <w:rPr>
          <w:rFonts w:ascii="Times New Roman" w:hAnsi="Times New Roman" w:eastAsia="方正仿宋_GBK"/>
          <w:sz w:val="32"/>
          <w:szCs w:val="32"/>
        </w:rPr>
        <w:t>409</w:t>
      </w:r>
      <w:r>
        <w:rPr>
          <w:rFonts w:hint="eastAsia" w:ascii="Times New Roman" w:hAnsi="Times New Roman" w:eastAsia="方正仿宋_GBK"/>
          <w:sz w:val="32"/>
          <w:szCs w:val="32"/>
        </w:rPr>
        <w:t>条。以市政府新闻发布会形式开展政策解读24场，开展“发言人来了”线下解读活动8场。建立市级“政策咨询问答库”1</w:t>
      </w:r>
      <w:r>
        <w:rPr>
          <w:rFonts w:ascii="Times New Roman" w:hAnsi="Times New Roman" w:eastAsia="方正仿宋_GBK"/>
          <w:sz w:val="32"/>
          <w:szCs w:val="32"/>
        </w:rPr>
        <w:t>8</w:t>
      </w:r>
      <w:r>
        <w:rPr>
          <w:rFonts w:hint="eastAsia" w:ascii="Times New Roman" w:hAnsi="Times New Roman" w:eastAsia="方正仿宋_GBK"/>
          <w:sz w:val="32"/>
          <w:szCs w:val="32"/>
        </w:rPr>
        <w:t>个，依托“12345”政务服务便民热线、政策咨询窗口为企业群众提供“一号答”“一站式”的政策咨询服务6</w:t>
      </w:r>
      <w:r>
        <w:rPr>
          <w:rFonts w:ascii="Times New Roman" w:hAnsi="Times New Roman" w:eastAsia="方正仿宋_GBK"/>
          <w:sz w:val="32"/>
          <w:szCs w:val="32"/>
        </w:rPr>
        <w:t>00</w:t>
      </w:r>
      <w:r>
        <w:rPr>
          <w:rFonts w:hint="eastAsia" w:ascii="Times New Roman" w:hAnsi="Times New Roman" w:eastAsia="方正仿宋_GBK"/>
          <w:sz w:val="32"/>
          <w:szCs w:val="32"/>
        </w:rPr>
        <w:t>余万次，办理群众诉求65.87万件。</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cs="方正楷体_GBK"/>
          <w:color w:val="000000"/>
          <w:sz w:val="32"/>
          <w:szCs w:val="32"/>
        </w:rPr>
        <w:t>（二）依申请公开持续规范。</w:t>
      </w:r>
      <w:r>
        <w:rPr>
          <w:rFonts w:hint="eastAsia" w:ascii="Times New Roman" w:hAnsi="Times New Roman" w:eastAsia="方正仿宋_GBK"/>
          <w:sz w:val="32"/>
          <w:szCs w:val="32"/>
        </w:rPr>
        <w:t>更新发布《重庆市政府机关政府信息公开指南（202</w:t>
      </w:r>
      <w:r>
        <w:rPr>
          <w:rFonts w:ascii="Times New Roman" w:hAnsi="Times New Roman" w:eastAsia="方正仿宋_GBK"/>
          <w:sz w:val="32"/>
          <w:szCs w:val="32"/>
        </w:rPr>
        <w:t>2</w:t>
      </w:r>
      <w:r>
        <w:rPr>
          <w:rFonts w:hint="eastAsia" w:ascii="Times New Roman" w:hAnsi="Times New Roman" w:eastAsia="方正仿宋_GBK"/>
          <w:sz w:val="32"/>
          <w:szCs w:val="32"/>
        </w:rPr>
        <w:t>年版）》，为社会公众获取政府信息提供更加精准指引。进一步优化接收、登记、转办、答复、存档等内部办理流程，依法依规办理政府信息公开申请，办理由政府信息公开引发的行政复议</w:t>
      </w:r>
      <w:r>
        <w:rPr>
          <w:rFonts w:ascii="Times New Roman" w:hAnsi="Times New Roman" w:eastAsia="方正仿宋_GBK"/>
          <w:sz w:val="32"/>
          <w:szCs w:val="32"/>
        </w:rPr>
        <w:t>17</w:t>
      </w:r>
      <w:r>
        <w:rPr>
          <w:rFonts w:hint="eastAsia" w:ascii="Times New Roman" w:hAnsi="Times New Roman" w:eastAsia="方正仿宋_GBK"/>
          <w:sz w:val="32"/>
          <w:szCs w:val="32"/>
        </w:rPr>
        <w:t>件、行政诉讼</w:t>
      </w:r>
      <w:r>
        <w:rPr>
          <w:rFonts w:ascii="Times New Roman" w:hAnsi="Times New Roman" w:eastAsia="方正仿宋_GBK"/>
          <w:sz w:val="32"/>
          <w:szCs w:val="32"/>
        </w:rPr>
        <w:t>9</w:t>
      </w:r>
      <w:r>
        <w:rPr>
          <w:rFonts w:hint="eastAsia" w:ascii="Times New Roman" w:hAnsi="Times New Roman" w:eastAsia="方正仿宋_GBK"/>
          <w:sz w:val="32"/>
          <w:szCs w:val="32"/>
        </w:rPr>
        <w:t>件。加强对全市政府信息依申请公开工作的指导，及时解答下级行政机关疑问1000余次，整理典型案例30余篇。</w:t>
      </w:r>
      <w:bookmarkStart w:id="1" w:name="_GoBack"/>
      <w:bookmarkEnd w:id="1"/>
      <w:r>
        <w:rPr>
          <w:rFonts w:hint="eastAsia" w:ascii="Times New Roman" w:hAnsi="Times New Roman" w:eastAsia="方正仿宋_GBK"/>
          <w:sz w:val="32"/>
          <w:szCs w:val="32"/>
        </w:rPr>
        <w:t>全市依申请公开规范化水平不断提升。</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cs="方正楷体_GBK"/>
          <w:color w:val="000000"/>
          <w:sz w:val="32"/>
          <w:szCs w:val="32"/>
        </w:rPr>
        <w:t>（三）政府信息管理更加高效。</w:t>
      </w:r>
      <w:r>
        <w:rPr>
          <w:rFonts w:hint="eastAsia" w:ascii="Times New Roman" w:hAnsi="Times New Roman" w:eastAsia="方正仿宋_GBK"/>
          <w:sz w:val="32"/>
          <w:szCs w:val="32"/>
        </w:rPr>
        <w:t>印发《重庆市人民政府办公厅关于进一步做好市政府政策性文件公开工作的通知》，进一步规范政策性文件公开属性认定、公开征求意见、政策解读、公开发布等工作流程，市政府重要政策文件做到“应公开尽公开”“应解读尽解读”。依托行政规范性文件备案系统，建成覆盖到区县的政策文件库，集中规范公开现行有效市政府规章14</w:t>
      </w:r>
      <w:r>
        <w:rPr>
          <w:rFonts w:ascii="Times New Roman" w:hAnsi="Times New Roman" w:eastAsia="方正仿宋_GBK"/>
          <w:sz w:val="32"/>
          <w:szCs w:val="32"/>
        </w:rPr>
        <w:t>6</w:t>
      </w:r>
      <w:r>
        <w:rPr>
          <w:rFonts w:hint="eastAsia" w:ascii="Times New Roman" w:hAnsi="Times New Roman" w:eastAsia="方正仿宋_GBK"/>
          <w:sz w:val="32"/>
          <w:szCs w:val="32"/>
        </w:rPr>
        <w:t>件，市政府及其部门、区县政府现行有效行政规范性文件</w:t>
      </w:r>
      <w:r>
        <w:rPr>
          <w:rFonts w:ascii="Times New Roman" w:hAnsi="Times New Roman" w:eastAsia="方正仿宋_GBK"/>
          <w:sz w:val="32"/>
          <w:szCs w:val="32"/>
        </w:rPr>
        <w:t>6146</w:t>
      </w:r>
      <w:r>
        <w:rPr>
          <w:rFonts w:hint="eastAsia" w:ascii="Times New Roman" w:hAnsi="Times New Roman" w:eastAsia="方正仿宋_GBK"/>
          <w:sz w:val="32"/>
          <w:szCs w:val="32"/>
        </w:rPr>
        <w:t>件，为优化营商环境、提升政府治理能力提供有效支撑。</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cs="方正楷体_GBK"/>
          <w:color w:val="000000"/>
          <w:sz w:val="32"/>
          <w:szCs w:val="32"/>
        </w:rPr>
        <w:t>（四）政务公开平台持续完善。</w:t>
      </w:r>
      <w:r>
        <w:rPr>
          <w:rFonts w:hint="eastAsia" w:ascii="Times New Roman" w:hAnsi="Times New Roman" w:eastAsia="方正仿宋_GBK"/>
          <w:sz w:val="32"/>
          <w:szCs w:val="32"/>
        </w:rPr>
        <w:t>持续完善市政府门户网站信息发布、政策解读、互动交流、关切回应功能，优化设置疫情防控、助企纾困、稳经济政策包等12个专题专栏。强化“重庆市政府”APP、“重庆市政府网”微信公众号及新浪微博内容建设，增加发布频次，新浪微博月点击量由103万增至764.6万，微信公众号月阅读量由14万增至254万，文章平均点击量从1063次增至8115次。同步发行《重庆市人民政府公报》纸质版、电子版，出刊</w:t>
      </w:r>
      <w:r>
        <w:rPr>
          <w:rFonts w:ascii="Times New Roman" w:hAnsi="Times New Roman" w:eastAsia="方正仿宋_GBK"/>
          <w:sz w:val="32"/>
          <w:szCs w:val="32"/>
        </w:rPr>
        <w:t>21</w:t>
      </w:r>
      <w:r>
        <w:rPr>
          <w:rFonts w:hint="eastAsia" w:ascii="Times New Roman" w:hAnsi="Times New Roman" w:eastAsia="方正仿宋_GBK"/>
          <w:sz w:val="32"/>
          <w:szCs w:val="32"/>
        </w:rPr>
        <w:t>期，免费赠阅2</w:t>
      </w:r>
      <w:r>
        <w:rPr>
          <w:rFonts w:ascii="Times New Roman" w:hAnsi="Times New Roman" w:eastAsia="方正仿宋_GBK"/>
          <w:sz w:val="32"/>
          <w:szCs w:val="32"/>
        </w:rPr>
        <w:t>7.7</w:t>
      </w:r>
      <w:r>
        <w:rPr>
          <w:rFonts w:hint="eastAsia" w:ascii="Times New Roman" w:hAnsi="Times New Roman" w:eastAsia="方正仿宋_GBK"/>
          <w:sz w:val="32"/>
          <w:szCs w:val="32"/>
        </w:rPr>
        <w:t>万册。召开市政府新闻发布会</w:t>
      </w:r>
      <w:r>
        <w:rPr>
          <w:rFonts w:ascii="Times New Roman" w:hAnsi="Times New Roman" w:eastAsia="方正仿宋_GBK"/>
          <w:sz w:val="32"/>
          <w:szCs w:val="32"/>
        </w:rPr>
        <w:t>158</w:t>
      </w:r>
      <w:r>
        <w:rPr>
          <w:rFonts w:hint="eastAsia" w:ascii="Times New Roman" w:hAnsi="Times New Roman" w:eastAsia="方正仿宋_GBK"/>
          <w:sz w:val="32"/>
          <w:szCs w:val="32"/>
        </w:rPr>
        <w:t>场，通过各类新闻媒体公开政府信息3.3万余条。</w:t>
      </w:r>
    </w:p>
    <w:p>
      <w:pPr>
        <w:spacing w:line="600" w:lineRule="exact"/>
        <w:ind w:firstLine="640" w:firstLineChars="200"/>
        <w:rPr>
          <w:rFonts w:ascii="Times New Roman" w:hAnsi="Times New Roman" w:eastAsia="方正仿宋_GBK" w:cs="方正仿宋_GBK"/>
          <w:b/>
          <w:bCs/>
          <w:color w:val="000000"/>
          <w:sz w:val="32"/>
          <w:szCs w:val="32"/>
        </w:rPr>
      </w:pPr>
      <w:r>
        <w:rPr>
          <w:rFonts w:hint="eastAsia" w:ascii="Times New Roman" w:hAnsi="Times New Roman" w:eastAsia="方正楷体_GBK" w:cs="方正楷体_GBK"/>
          <w:color w:val="000000"/>
          <w:sz w:val="32"/>
          <w:szCs w:val="32"/>
        </w:rPr>
        <w:t>（五）监督保障持续加强。</w:t>
      </w:r>
      <w:r>
        <w:rPr>
          <w:rFonts w:hint="eastAsia" w:ascii="Times New Roman" w:hAnsi="Times New Roman" w:eastAsia="方正仿宋_GBK"/>
          <w:sz w:val="32"/>
          <w:szCs w:val="32"/>
        </w:rPr>
        <w:t>全年组织政务公开网上培训13次，召开专题会议11次，开展“上门服务”</w:t>
      </w:r>
      <w:r>
        <w:rPr>
          <w:rFonts w:ascii="Times New Roman" w:hAnsi="Times New Roman" w:eastAsia="方正仿宋_GBK"/>
          <w:sz w:val="32"/>
          <w:szCs w:val="32"/>
        </w:rPr>
        <w:t>5</w:t>
      </w:r>
      <w:r>
        <w:rPr>
          <w:rFonts w:hint="eastAsia" w:ascii="Times New Roman" w:hAnsi="Times New Roman" w:eastAsia="方正仿宋_GBK"/>
          <w:sz w:val="32"/>
          <w:szCs w:val="32"/>
        </w:rPr>
        <w:t>0余次。印发政务公开工作交流3期，在微信工作群推送政策解读、关切回应、依申请公开等经验做法、典型案例100余次，促进各区县、各部门相互学习借鉴。持续开展全市政务公开第三方评估，点对点出具评估报告。在每季度开展政府网站和政务新媒体常规检查基础上，定期开展专项督查。持续将政务公开纳入区县经济社会发展业绩考核、市级党政机关目标管理绩效考核。全年收到社会公众对下级行政机关政府信息公开的投诉、举报</w:t>
      </w:r>
      <w:r>
        <w:rPr>
          <w:rFonts w:ascii="Times New Roman" w:hAnsi="Times New Roman" w:eastAsia="方正仿宋_GBK"/>
          <w:sz w:val="32"/>
          <w:szCs w:val="32"/>
        </w:rPr>
        <w:t>2</w:t>
      </w:r>
      <w:r>
        <w:rPr>
          <w:rFonts w:hint="eastAsia" w:ascii="Times New Roman" w:hAnsi="Times New Roman" w:eastAsia="方正仿宋_GBK"/>
          <w:sz w:val="32"/>
          <w:szCs w:val="32"/>
        </w:rPr>
        <w:t>件，均已及时调查核处。</w:t>
      </w:r>
    </w:p>
    <w:p>
      <w:pPr>
        <w:spacing w:line="600" w:lineRule="exact"/>
        <w:ind w:firstLine="640" w:firstLineChars="200"/>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二、主动公开政府信息情况</w:t>
      </w:r>
    </w:p>
    <w:tbl>
      <w:tblPr>
        <w:tblStyle w:val="14"/>
        <w:tblW w:w="9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74"/>
        <w:gridCol w:w="2474"/>
        <w:gridCol w:w="2474"/>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9900" w:type="dxa"/>
            <w:gridSpan w:val="4"/>
            <w:shd w:val="clear" w:color="auto" w:fill="FFFFFF"/>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2474" w:type="dxa"/>
            <w:shd w:val="clear" w:color="auto" w:fill="FFFFFF"/>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信息内容</w:t>
            </w:r>
          </w:p>
        </w:tc>
        <w:tc>
          <w:tcPr>
            <w:tcW w:w="2474" w:type="dxa"/>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本年制发件数</w:t>
            </w:r>
          </w:p>
        </w:tc>
        <w:tc>
          <w:tcPr>
            <w:tcW w:w="2474" w:type="dxa"/>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本年废止件数</w:t>
            </w:r>
          </w:p>
        </w:tc>
        <w:tc>
          <w:tcPr>
            <w:tcW w:w="2478" w:type="dxa"/>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2474" w:type="dxa"/>
            <w:shd w:val="clear" w:color="auto" w:fill="FFFFFF"/>
            <w:tcMar>
              <w:left w:w="57" w:type="dxa"/>
              <w:right w:w="57" w:type="dxa"/>
            </w:tcMar>
            <w:vAlign w:val="center"/>
          </w:tcPr>
          <w:p>
            <w:pPr>
              <w:widowControl/>
              <w:jc w:val="left"/>
              <w:rPr>
                <w:rFonts w:ascii="Times New Roman" w:hAnsi="Times New Roman"/>
                <w:sz w:val="20"/>
                <w:szCs w:val="20"/>
              </w:rPr>
            </w:pPr>
            <w:r>
              <w:rPr>
                <w:rFonts w:hint="eastAsia" w:ascii="Times New Roman" w:hAnsi="Times New Roman"/>
                <w:sz w:val="20"/>
                <w:szCs w:val="20"/>
              </w:rPr>
              <w:t>规章</w:t>
            </w:r>
          </w:p>
        </w:tc>
        <w:tc>
          <w:tcPr>
            <w:tcW w:w="2474" w:type="dxa"/>
            <w:tcMar>
              <w:left w:w="57" w:type="dxa"/>
              <w:right w:w="57" w:type="dxa"/>
            </w:tcMar>
            <w:vAlign w:val="center"/>
          </w:tcPr>
          <w:p>
            <w:pPr>
              <w:widowControl/>
              <w:jc w:val="center"/>
              <w:rPr>
                <w:rFonts w:ascii="Times New Roman" w:hAnsi="Times New Roman"/>
                <w:sz w:val="20"/>
                <w:szCs w:val="20"/>
              </w:rPr>
            </w:pPr>
            <w:r>
              <w:rPr>
                <w:rFonts w:ascii="Times New Roman" w:hAnsi="Times New Roman" w:cs="宋体"/>
                <w:kern w:val="0"/>
                <w:sz w:val="20"/>
                <w:szCs w:val="20"/>
                <w:lang w:bidi="ar"/>
              </w:rPr>
              <w:t>4</w:t>
            </w:r>
          </w:p>
        </w:tc>
        <w:tc>
          <w:tcPr>
            <w:tcW w:w="2474" w:type="dxa"/>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1</w:t>
            </w:r>
            <w:r>
              <w:rPr>
                <w:rFonts w:ascii="Times New Roman" w:hAnsi="Times New Roman" w:cs="宋体"/>
                <w:kern w:val="0"/>
                <w:sz w:val="20"/>
                <w:szCs w:val="20"/>
                <w:lang w:bidi="ar"/>
              </w:rPr>
              <w:t>2</w:t>
            </w:r>
          </w:p>
        </w:tc>
        <w:tc>
          <w:tcPr>
            <w:tcW w:w="2478" w:type="dxa"/>
            <w:tcMar>
              <w:left w:w="57" w:type="dxa"/>
              <w:right w:w="57" w:type="dxa"/>
            </w:tcMar>
            <w:vAlign w:val="center"/>
          </w:tcPr>
          <w:p>
            <w:pPr>
              <w:widowControl/>
              <w:jc w:val="center"/>
              <w:rPr>
                <w:rFonts w:ascii="Times New Roman" w:hAnsi="Times New Roman"/>
                <w:sz w:val="20"/>
                <w:szCs w:val="20"/>
              </w:rPr>
            </w:pPr>
            <w:r>
              <w:rPr>
                <w:rFonts w:ascii="Times New Roman" w:hAnsi="Times New Roman" w:cs="Calibri"/>
                <w:kern w:val="0"/>
                <w:sz w:val="20"/>
                <w:szCs w:val="20"/>
                <w:lang w:bidi="ar"/>
              </w:rPr>
              <w:t>146</w:t>
            </w:r>
            <w:r>
              <w:rPr>
                <w:rFonts w:hint="eastAsia" w:ascii="方正楷体_GBK" w:hAnsi="Times New Roman" w:eastAsia="方正楷体_GBK" w:cs="Calibri"/>
                <w:kern w:val="0"/>
                <w:sz w:val="20"/>
                <w:szCs w:val="20"/>
                <w:vertAlign w:val="superscript"/>
                <w:lang w:bidi="ar"/>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9" w:hRule="atLeast"/>
          <w:jc w:val="center"/>
        </w:trPr>
        <w:tc>
          <w:tcPr>
            <w:tcW w:w="2474" w:type="dxa"/>
            <w:shd w:val="clear" w:color="auto" w:fill="FFFFFF"/>
            <w:tcMar>
              <w:left w:w="57" w:type="dxa"/>
              <w:right w:w="57" w:type="dxa"/>
            </w:tcMar>
            <w:vAlign w:val="center"/>
          </w:tcPr>
          <w:p>
            <w:pPr>
              <w:widowControl/>
              <w:jc w:val="left"/>
              <w:rPr>
                <w:rFonts w:ascii="Times New Roman" w:hAnsi="Times New Roman"/>
                <w:sz w:val="20"/>
                <w:szCs w:val="20"/>
              </w:rPr>
            </w:pPr>
            <w:r>
              <w:rPr>
                <w:rFonts w:hint="eastAsia" w:ascii="Times New Roman" w:hAnsi="Times New Roman" w:cs="宋体"/>
                <w:kern w:val="0"/>
                <w:sz w:val="20"/>
                <w:szCs w:val="20"/>
                <w:lang w:bidi="ar"/>
              </w:rPr>
              <w:t>行政规范性文件</w:t>
            </w:r>
          </w:p>
        </w:tc>
        <w:tc>
          <w:tcPr>
            <w:tcW w:w="2474" w:type="dxa"/>
            <w:tcMar>
              <w:left w:w="57" w:type="dxa"/>
              <w:right w:w="57" w:type="dxa"/>
            </w:tcMar>
            <w:vAlign w:val="center"/>
          </w:tcPr>
          <w:p>
            <w:pPr>
              <w:widowControl/>
              <w:jc w:val="center"/>
              <w:rPr>
                <w:rFonts w:ascii="Times New Roman" w:hAnsi="Times New Roman"/>
                <w:sz w:val="20"/>
                <w:szCs w:val="20"/>
              </w:rPr>
            </w:pPr>
            <w:r>
              <w:rPr>
                <w:rFonts w:ascii="Times New Roman" w:hAnsi="Times New Roman"/>
                <w:sz w:val="20"/>
                <w:szCs w:val="20"/>
              </w:rPr>
              <w:t>48</w:t>
            </w:r>
          </w:p>
        </w:tc>
        <w:tc>
          <w:tcPr>
            <w:tcW w:w="2474" w:type="dxa"/>
            <w:tcMar>
              <w:left w:w="57" w:type="dxa"/>
              <w:right w:w="57" w:type="dxa"/>
            </w:tcMar>
            <w:vAlign w:val="center"/>
          </w:tcPr>
          <w:p>
            <w:pPr>
              <w:widowControl/>
              <w:jc w:val="center"/>
              <w:rPr>
                <w:rFonts w:ascii="Times New Roman" w:hAnsi="Times New Roman"/>
                <w:sz w:val="20"/>
                <w:szCs w:val="20"/>
              </w:rPr>
            </w:pPr>
            <w:r>
              <w:rPr>
                <w:rFonts w:ascii="Times New Roman" w:hAnsi="Times New Roman"/>
                <w:sz w:val="20"/>
                <w:szCs w:val="20"/>
              </w:rPr>
              <w:t>85</w:t>
            </w:r>
          </w:p>
        </w:tc>
        <w:tc>
          <w:tcPr>
            <w:tcW w:w="2478" w:type="dxa"/>
            <w:tcMar>
              <w:left w:w="57" w:type="dxa"/>
              <w:right w:w="57" w:type="dxa"/>
            </w:tcMar>
            <w:vAlign w:val="center"/>
          </w:tcPr>
          <w:p>
            <w:pPr>
              <w:widowControl/>
              <w:jc w:val="center"/>
              <w:rPr>
                <w:rFonts w:ascii="Times New Roman" w:hAnsi="Times New Roman" w:cs="宋体"/>
                <w:color w:val="FF0000"/>
                <w:kern w:val="0"/>
                <w:sz w:val="20"/>
                <w:szCs w:val="20"/>
                <w:lang w:bidi="ar"/>
              </w:rPr>
            </w:pPr>
            <w:bookmarkStart w:id="0" w:name="_Hlk124156691"/>
            <w:r>
              <w:rPr>
                <w:rFonts w:hint="eastAsia" w:ascii="Times New Roman" w:hAnsi="Times New Roman" w:cs="Calibri"/>
                <w:kern w:val="0"/>
                <w:sz w:val="20"/>
                <w:szCs w:val="20"/>
                <w:lang w:bidi="ar"/>
              </w:rPr>
              <w:t>8</w:t>
            </w:r>
            <w:r>
              <w:rPr>
                <w:rFonts w:ascii="Times New Roman" w:hAnsi="Times New Roman" w:cs="Calibri"/>
                <w:kern w:val="0"/>
                <w:sz w:val="20"/>
                <w:szCs w:val="20"/>
                <w:lang w:bidi="ar"/>
              </w:rPr>
              <w:t>35</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jc w:val="center"/>
        </w:trPr>
        <w:tc>
          <w:tcPr>
            <w:tcW w:w="9900" w:type="dxa"/>
            <w:gridSpan w:val="4"/>
            <w:shd w:val="clear" w:color="auto" w:fill="FFFFFF"/>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2474" w:type="dxa"/>
            <w:shd w:val="clear" w:color="auto" w:fill="FFFFFF"/>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信息内容</w:t>
            </w:r>
          </w:p>
        </w:tc>
        <w:tc>
          <w:tcPr>
            <w:tcW w:w="7426" w:type="dxa"/>
            <w:gridSpan w:val="3"/>
            <w:shd w:val="clear" w:color="auto" w:fill="FFFFFF"/>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2474" w:type="dxa"/>
            <w:shd w:val="clear" w:color="auto" w:fill="FFFFFF"/>
            <w:tcMar>
              <w:left w:w="57" w:type="dxa"/>
              <w:right w:w="57" w:type="dxa"/>
            </w:tcMar>
            <w:vAlign w:val="center"/>
          </w:tcPr>
          <w:p>
            <w:pPr>
              <w:widowControl/>
              <w:jc w:val="left"/>
              <w:rPr>
                <w:rFonts w:ascii="Times New Roman" w:hAnsi="Times New Roman"/>
                <w:sz w:val="20"/>
                <w:szCs w:val="20"/>
              </w:rPr>
            </w:pPr>
            <w:r>
              <w:rPr>
                <w:rFonts w:hint="eastAsia" w:ascii="Times New Roman" w:hAnsi="Times New Roman" w:cs="宋体"/>
                <w:kern w:val="0"/>
                <w:sz w:val="20"/>
                <w:szCs w:val="20"/>
                <w:lang w:bidi="ar"/>
              </w:rPr>
              <w:t>行政许可</w:t>
            </w:r>
          </w:p>
        </w:tc>
        <w:tc>
          <w:tcPr>
            <w:tcW w:w="7426" w:type="dxa"/>
            <w:gridSpan w:val="3"/>
            <w:shd w:val="clear" w:color="auto" w:fill="FFFFFF"/>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Calibri"/>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9900" w:type="dxa"/>
            <w:gridSpan w:val="4"/>
            <w:shd w:val="clear" w:color="auto" w:fill="FFFFFF"/>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2474" w:type="dxa"/>
            <w:shd w:val="clear" w:color="auto" w:fill="FFFFFF"/>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信息内容</w:t>
            </w:r>
          </w:p>
        </w:tc>
        <w:tc>
          <w:tcPr>
            <w:tcW w:w="7426" w:type="dxa"/>
            <w:gridSpan w:val="3"/>
            <w:shd w:val="clear" w:color="auto" w:fill="FFFFFF"/>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2474" w:type="dxa"/>
            <w:shd w:val="clear" w:color="auto" w:fill="FFFFFF"/>
            <w:tcMar>
              <w:left w:w="57" w:type="dxa"/>
              <w:right w:w="57" w:type="dxa"/>
            </w:tcMar>
            <w:vAlign w:val="center"/>
          </w:tcPr>
          <w:p>
            <w:pPr>
              <w:widowControl/>
              <w:jc w:val="left"/>
              <w:rPr>
                <w:rFonts w:ascii="Times New Roman" w:hAnsi="Times New Roman"/>
                <w:sz w:val="20"/>
                <w:szCs w:val="20"/>
              </w:rPr>
            </w:pPr>
            <w:r>
              <w:rPr>
                <w:rFonts w:hint="eastAsia" w:ascii="Times New Roman" w:hAnsi="Times New Roman" w:cs="宋体"/>
                <w:kern w:val="0"/>
                <w:sz w:val="20"/>
                <w:szCs w:val="20"/>
                <w:lang w:bidi="ar"/>
              </w:rPr>
              <w:t>行政处罚</w:t>
            </w:r>
          </w:p>
        </w:tc>
        <w:tc>
          <w:tcPr>
            <w:tcW w:w="7426" w:type="dxa"/>
            <w:gridSpan w:val="3"/>
            <w:shd w:val="clear" w:color="auto" w:fill="FFFFFF"/>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2474" w:type="dxa"/>
            <w:shd w:val="clear" w:color="auto" w:fill="FFFFFF"/>
            <w:tcMar>
              <w:left w:w="57" w:type="dxa"/>
              <w:right w:w="57" w:type="dxa"/>
            </w:tcMar>
            <w:vAlign w:val="center"/>
          </w:tcPr>
          <w:p>
            <w:pPr>
              <w:widowControl/>
              <w:jc w:val="left"/>
              <w:rPr>
                <w:rFonts w:ascii="Times New Roman" w:hAnsi="Times New Roman"/>
                <w:sz w:val="20"/>
                <w:szCs w:val="20"/>
              </w:rPr>
            </w:pPr>
            <w:r>
              <w:rPr>
                <w:rFonts w:hint="eastAsia" w:ascii="Times New Roman" w:hAnsi="Times New Roman" w:cs="宋体"/>
                <w:kern w:val="0"/>
                <w:sz w:val="20"/>
                <w:szCs w:val="20"/>
                <w:lang w:bidi="ar"/>
              </w:rPr>
              <w:t>行政强制</w:t>
            </w:r>
          </w:p>
        </w:tc>
        <w:tc>
          <w:tcPr>
            <w:tcW w:w="7426" w:type="dxa"/>
            <w:gridSpan w:val="3"/>
            <w:shd w:val="clear" w:color="auto" w:fill="FFFFFF"/>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9900" w:type="dxa"/>
            <w:gridSpan w:val="4"/>
            <w:shd w:val="clear" w:color="auto" w:fill="FFFFFF"/>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2474" w:type="dxa"/>
            <w:shd w:val="clear" w:color="auto" w:fill="FFFFFF"/>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信息内容</w:t>
            </w:r>
          </w:p>
        </w:tc>
        <w:tc>
          <w:tcPr>
            <w:tcW w:w="7426" w:type="dxa"/>
            <w:gridSpan w:val="3"/>
            <w:shd w:val="clear" w:color="auto" w:fill="FFFFFF"/>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6" w:hRule="atLeast"/>
          <w:jc w:val="center"/>
        </w:trPr>
        <w:tc>
          <w:tcPr>
            <w:tcW w:w="2474" w:type="dxa"/>
            <w:shd w:val="clear" w:color="auto" w:fill="FFFFFF"/>
            <w:tcMar>
              <w:left w:w="57" w:type="dxa"/>
              <w:right w:w="57" w:type="dxa"/>
            </w:tcMar>
            <w:vAlign w:val="center"/>
          </w:tcPr>
          <w:p>
            <w:pPr>
              <w:widowControl/>
              <w:jc w:val="center"/>
              <w:rPr>
                <w:rFonts w:ascii="Times New Roman" w:hAnsi="Times New Roman"/>
                <w:sz w:val="20"/>
                <w:szCs w:val="20"/>
              </w:rPr>
            </w:pPr>
            <w:r>
              <w:rPr>
                <w:rFonts w:hint="eastAsia" w:ascii="Times New Roman" w:hAnsi="Times New Roman" w:cs="宋体"/>
                <w:kern w:val="0"/>
                <w:sz w:val="20"/>
                <w:szCs w:val="20"/>
                <w:lang w:bidi="ar"/>
              </w:rPr>
              <w:t>行政事业性收费</w:t>
            </w:r>
          </w:p>
        </w:tc>
        <w:tc>
          <w:tcPr>
            <w:tcW w:w="7426" w:type="dxa"/>
            <w:gridSpan w:val="3"/>
            <w:shd w:val="clear" w:color="auto" w:fill="FFFFFF"/>
            <w:tcMar>
              <w:left w:w="57" w:type="dxa"/>
              <w:right w:w="57" w:type="dxa"/>
            </w:tcMar>
            <w:vAlign w:val="center"/>
          </w:tcPr>
          <w:p>
            <w:pPr>
              <w:jc w:val="center"/>
              <w:rPr>
                <w:rFonts w:ascii="Times New Roman" w:hAnsi="Times New Roman"/>
                <w:sz w:val="20"/>
                <w:szCs w:val="20"/>
              </w:rPr>
            </w:pPr>
            <w:r>
              <w:rPr>
                <w:rFonts w:ascii="Times New Roman" w:hAnsi="Times New Roman" w:cs="宋体"/>
                <w:kern w:val="0"/>
                <w:sz w:val="20"/>
                <w:szCs w:val="20"/>
                <w:lang w:bidi="ar"/>
              </w:rPr>
              <w:t>0</w:t>
            </w:r>
          </w:p>
        </w:tc>
      </w:tr>
    </w:tbl>
    <w:p>
      <w:pPr>
        <w:spacing w:line="240" w:lineRule="exact"/>
        <w:rPr>
          <w:rFonts w:ascii="方正楷体_GBK" w:hAnsi="Times New Roman" w:eastAsia="方正楷体_GBK" w:cs="方正黑体_GBK"/>
          <w:color w:val="000000"/>
          <w:sz w:val="20"/>
          <w:szCs w:val="20"/>
        </w:rPr>
      </w:pPr>
      <w:r>
        <w:rPr>
          <w:rFonts w:hint="eastAsia" w:ascii="方正楷体_GBK" w:hAnsi="Times New Roman" w:eastAsia="方正楷体_GBK" w:cs="方正黑体_GBK"/>
          <w:color w:val="000000"/>
          <w:sz w:val="20"/>
          <w:szCs w:val="20"/>
        </w:rPr>
        <w:t>（注：按照规章库建设的有关要求，另有1</w:t>
      </w:r>
      <w:r>
        <w:rPr>
          <w:rFonts w:ascii="方正楷体_GBK" w:hAnsi="Times New Roman" w:eastAsia="方正楷体_GBK" w:cs="方正黑体_GBK"/>
          <w:color w:val="000000"/>
          <w:sz w:val="20"/>
          <w:szCs w:val="20"/>
        </w:rPr>
        <w:t>7</w:t>
      </w:r>
      <w:r>
        <w:rPr>
          <w:rFonts w:hint="eastAsia" w:ascii="方正楷体_GBK" w:hAnsi="Times New Roman" w:eastAsia="方正楷体_GBK" w:cs="方正黑体_GBK"/>
          <w:color w:val="000000"/>
          <w:sz w:val="20"/>
          <w:szCs w:val="20"/>
        </w:rPr>
        <w:t>件“关于废止和修改部分政府规章的决定”，未纳入规章统计口径）</w:t>
      </w:r>
    </w:p>
    <w:p>
      <w:pPr>
        <w:spacing w:line="600" w:lineRule="exact"/>
        <w:ind w:firstLine="640" w:firstLineChars="200"/>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三、收到和处理政府信息公开申请情况</w:t>
      </w:r>
    </w:p>
    <w:tbl>
      <w:tblPr>
        <w:tblStyle w:val="14"/>
        <w:tblW w:w="9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1"/>
        <w:gridCol w:w="938"/>
        <w:gridCol w:w="3167"/>
        <w:gridCol w:w="777"/>
        <w:gridCol w:w="686"/>
        <w:gridCol w:w="681"/>
        <w:gridCol w:w="681"/>
        <w:gridCol w:w="681"/>
        <w:gridCol w:w="681"/>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66" w:type="dxa"/>
            <w:gridSpan w:val="3"/>
            <w:vMerge w:val="restart"/>
            <w:tcMar>
              <w:left w:w="108" w:type="dxa"/>
              <w:right w:w="108" w:type="dxa"/>
            </w:tcMar>
            <w:vAlign w:val="center"/>
          </w:tcPr>
          <w:p>
            <w:pPr>
              <w:widowControl/>
              <w:jc w:val="left"/>
              <w:rPr>
                <w:rFonts w:ascii="Times New Roman" w:hAnsi="Times New Roman"/>
                <w:color w:val="000000"/>
                <w:sz w:val="20"/>
                <w:szCs w:val="20"/>
              </w:rPr>
            </w:pPr>
            <w:r>
              <w:rPr>
                <w:rFonts w:ascii="Times New Roman" w:hAnsi="Times New Roman" w:eastAsia="楷体" w:cs="楷体"/>
                <w:color w:val="000000"/>
                <w:kern w:val="0"/>
                <w:sz w:val="20"/>
                <w:szCs w:val="20"/>
                <w:lang w:bidi="ar"/>
              </w:rPr>
              <w:t>（本列数据的勾稽关系为：第一项加第二项之和，等于第三项加第四项之和）</w:t>
            </w:r>
          </w:p>
        </w:tc>
        <w:tc>
          <w:tcPr>
            <w:tcW w:w="4882" w:type="dxa"/>
            <w:gridSpan w:val="7"/>
            <w:tcMar>
              <w:left w:w="57" w:type="dxa"/>
              <w:right w:w="57"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66" w:type="dxa"/>
            <w:gridSpan w:val="3"/>
            <w:vMerge w:val="continue"/>
            <w:tcMar>
              <w:left w:w="108" w:type="dxa"/>
              <w:right w:w="108" w:type="dxa"/>
            </w:tcMar>
            <w:vAlign w:val="center"/>
          </w:tcPr>
          <w:p>
            <w:pPr>
              <w:rPr>
                <w:rFonts w:ascii="Times New Roman" w:hAnsi="Times New Roman"/>
                <w:color w:val="000000"/>
                <w:sz w:val="20"/>
                <w:szCs w:val="20"/>
              </w:rPr>
            </w:pPr>
          </w:p>
        </w:tc>
        <w:tc>
          <w:tcPr>
            <w:tcW w:w="777" w:type="dxa"/>
            <w:vMerge w:val="restart"/>
            <w:tcMar>
              <w:left w:w="57" w:type="dxa"/>
              <w:right w:w="57"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自然人</w:t>
            </w:r>
          </w:p>
        </w:tc>
        <w:tc>
          <w:tcPr>
            <w:tcW w:w="3410" w:type="dxa"/>
            <w:gridSpan w:val="5"/>
            <w:tcMar>
              <w:left w:w="57" w:type="dxa"/>
              <w:right w:w="57"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法人或其他组织</w:t>
            </w:r>
          </w:p>
        </w:tc>
        <w:tc>
          <w:tcPr>
            <w:tcW w:w="695" w:type="dxa"/>
            <w:vMerge w:val="restart"/>
            <w:tcMar>
              <w:left w:w="57" w:type="dxa"/>
              <w:right w:w="57"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66" w:type="dxa"/>
            <w:gridSpan w:val="3"/>
            <w:vMerge w:val="continue"/>
            <w:tcMar>
              <w:left w:w="108" w:type="dxa"/>
              <w:right w:w="108" w:type="dxa"/>
            </w:tcMar>
            <w:vAlign w:val="center"/>
          </w:tcPr>
          <w:p>
            <w:pPr>
              <w:rPr>
                <w:rFonts w:ascii="Times New Roman" w:hAnsi="Times New Roman"/>
                <w:color w:val="000000"/>
                <w:sz w:val="20"/>
                <w:szCs w:val="20"/>
              </w:rPr>
            </w:pPr>
          </w:p>
        </w:tc>
        <w:tc>
          <w:tcPr>
            <w:tcW w:w="777" w:type="dxa"/>
            <w:vMerge w:val="continue"/>
            <w:tcMar>
              <w:left w:w="57" w:type="dxa"/>
              <w:right w:w="57" w:type="dxa"/>
            </w:tcMar>
            <w:vAlign w:val="center"/>
          </w:tcPr>
          <w:p>
            <w:pPr>
              <w:rPr>
                <w:rFonts w:ascii="Times New Roman" w:hAnsi="Times New Roman"/>
                <w:color w:val="000000"/>
                <w:sz w:val="20"/>
                <w:szCs w:val="20"/>
              </w:rPr>
            </w:pPr>
          </w:p>
        </w:tc>
        <w:tc>
          <w:tcPr>
            <w:tcW w:w="686" w:type="dxa"/>
            <w:tcMar>
              <w:left w:w="57" w:type="dxa"/>
              <w:right w:w="57"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商业</w:t>
            </w:r>
          </w:p>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企业</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科研</w:t>
            </w:r>
          </w:p>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机构</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社会公益组织</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法律服务机构</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其他</w:t>
            </w:r>
          </w:p>
        </w:tc>
        <w:tc>
          <w:tcPr>
            <w:tcW w:w="695" w:type="dxa"/>
            <w:vMerge w:val="continue"/>
            <w:tcMar>
              <w:left w:w="57" w:type="dxa"/>
              <w:right w:w="57" w:type="dxa"/>
            </w:tcMar>
            <w:vAlign w:val="center"/>
          </w:tcPr>
          <w:p>
            <w:pPr>
              <w:rPr>
                <w:rFonts w:ascii="Times New Roman" w:hAnsi="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66" w:type="dxa"/>
            <w:gridSpan w:val="3"/>
            <w:tcMar>
              <w:left w:w="57" w:type="dxa"/>
              <w:right w:w="57" w:type="dxa"/>
            </w:tcMar>
            <w:vAlign w:val="cente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一、本年新收政府信息公开申请数量</w:t>
            </w:r>
          </w:p>
        </w:tc>
        <w:tc>
          <w:tcPr>
            <w:tcW w:w="777" w:type="dxa"/>
            <w:tcMar>
              <w:left w:w="57" w:type="dxa"/>
              <w:right w:w="57" w:type="dxa"/>
            </w:tcMar>
          </w:tcPr>
          <w:p>
            <w:pPr>
              <w:widowControl/>
              <w:jc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360</w:t>
            </w:r>
          </w:p>
        </w:tc>
        <w:tc>
          <w:tcPr>
            <w:tcW w:w="686" w:type="dxa"/>
            <w:tcMar>
              <w:left w:w="57" w:type="dxa"/>
              <w:right w:w="57" w:type="dxa"/>
            </w:tcMar>
          </w:tcPr>
          <w:p>
            <w:pPr>
              <w:widowControl/>
              <w:jc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13</w:t>
            </w:r>
          </w:p>
        </w:tc>
        <w:tc>
          <w:tcPr>
            <w:tcW w:w="681" w:type="dxa"/>
            <w:tcMar>
              <w:left w:w="57" w:type="dxa"/>
              <w:right w:w="57" w:type="dxa"/>
            </w:tcMar>
          </w:tcPr>
          <w:p>
            <w:pPr>
              <w:widowControl/>
              <w:jc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0</w:t>
            </w:r>
          </w:p>
        </w:tc>
        <w:tc>
          <w:tcPr>
            <w:tcW w:w="681" w:type="dxa"/>
            <w:tcMar>
              <w:left w:w="57" w:type="dxa"/>
              <w:right w:w="57" w:type="dxa"/>
            </w:tcMar>
          </w:tcPr>
          <w:p>
            <w:pPr>
              <w:widowControl/>
              <w:jc w:val="center"/>
              <w:rPr>
                <w:rFonts w:ascii="Times New Roman" w:hAnsi="Times New Roman"/>
                <w:color w:val="000000"/>
                <w:sz w:val="20"/>
                <w:szCs w:val="20"/>
              </w:rPr>
            </w:pPr>
            <w:r>
              <w:rPr>
                <w:rFonts w:ascii="Times New Roman" w:hAnsi="Times New Roman"/>
              </w:rPr>
              <w:t>0</w:t>
            </w:r>
          </w:p>
        </w:tc>
        <w:tc>
          <w:tcPr>
            <w:tcW w:w="681" w:type="dxa"/>
            <w:tcMar>
              <w:left w:w="57" w:type="dxa"/>
              <w:right w:w="57" w:type="dxa"/>
            </w:tcMar>
          </w:tcPr>
          <w:p>
            <w:pPr>
              <w:widowControl/>
              <w:jc w:val="center"/>
              <w:rPr>
                <w:rFonts w:ascii="Times New Roman" w:hAnsi="Times New Roman"/>
                <w:color w:val="000000"/>
                <w:sz w:val="20"/>
                <w:szCs w:val="20"/>
              </w:rPr>
            </w:pPr>
            <w:r>
              <w:rPr>
                <w:rFonts w:ascii="Times New Roman" w:hAnsi="Times New Roman"/>
              </w:rPr>
              <w:t>2</w:t>
            </w:r>
          </w:p>
        </w:tc>
        <w:tc>
          <w:tcPr>
            <w:tcW w:w="681" w:type="dxa"/>
            <w:tcMar>
              <w:left w:w="57" w:type="dxa"/>
              <w:right w:w="57" w:type="dxa"/>
            </w:tcMar>
          </w:tcPr>
          <w:p>
            <w:pPr>
              <w:widowControl/>
              <w:jc w:val="center"/>
              <w:rPr>
                <w:rFonts w:ascii="Times New Roman" w:hAnsi="Times New Roman"/>
                <w:color w:val="000000"/>
                <w:sz w:val="20"/>
                <w:szCs w:val="20"/>
              </w:rPr>
            </w:pPr>
            <w:r>
              <w:rPr>
                <w:rFonts w:ascii="Times New Roman" w:hAnsi="Times New Roman"/>
              </w:rPr>
              <w:t>0</w:t>
            </w:r>
          </w:p>
        </w:tc>
        <w:tc>
          <w:tcPr>
            <w:tcW w:w="695" w:type="dxa"/>
            <w:tcMar>
              <w:left w:w="57" w:type="dxa"/>
              <w:right w:w="57" w:type="dxa"/>
            </w:tcMar>
            <w:vAlign w:val="center"/>
          </w:tcPr>
          <w:p>
            <w:pPr>
              <w:widowControl/>
              <w:jc w:val="center"/>
              <w:rPr>
                <w:rFonts w:ascii="Times New Roman" w:hAnsi="Times New Roman"/>
                <w:color w:val="000000"/>
                <w:sz w:val="20"/>
                <w:szCs w:val="20"/>
              </w:rPr>
            </w:pPr>
            <w:r>
              <w:rPr>
                <w:rFonts w:ascii="Times New Roman" w:hAnsi="Times New Roman" w:eastAsia="等线"/>
                <w:color w:val="000000"/>
                <w:sz w:val="20"/>
                <w:szCs w:val="20"/>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66" w:type="dxa"/>
            <w:gridSpan w:val="3"/>
            <w:tcMar>
              <w:left w:w="57" w:type="dxa"/>
              <w:right w:w="57" w:type="dxa"/>
            </w:tcMar>
            <w:vAlign w:val="cente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二、上年结转政府信息公开申请数量</w:t>
            </w:r>
          </w:p>
        </w:tc>
        <w:tc>
          <w:tcPr>
            <w:tcW w:w="777" w:type="dxa"/>
            <w:tcMar>
              <w:left w:w="57" w:type="dxa"/>
              <w:right w:w="57" w:type="dxa"/>
            </w:tcMar>
          </w:tcPr>
          <w:p>
            <w:pPr>
              <w:widowControl/>
              <w:jc w:val="center"/>
              <w:rPr>
                <w:rFonts w:ascii="Times New Roman" w:hAnsi="Times New Roman"/>
                <w:color w:val="000000"/>
                <w:sz w:val="20"/>
                <w:szCs w:val="20"/>
              </w:rPr>
            </w:pPr>
            <w:r>
              <w:rPr>
                <w:rFonts w:ascii="Times New Roman" w:hAnsi="Times New Roman"/>
              </w:rPr>
              <w:t>21</w:t>
            </w:r>
          </w:p>
        </w:tc>
        <w:tc>
          <w:tcPr>
            <w:tcW w:w="686" w:type="dxa"/>
            <w:tcMar>
              <w:left w:w="57" w:type="dxa"/>
              <w:right w:w="57" w:type="dxa"/>
            </w:tcMar>
          </w:tcPr>
          <w:p>
            <w:pPr>
              <w:widowControl/>
              <w:jc w:val="center"/>
              <w:rPr>
                <w:rFonts w:ascii="Times New Roman" w:hAnsi="Times New Roman"/>
                <w:color w:val="000000"/>
                <w:sz w:val="20"/>
                <w:szCs w:val="20"/>
              </w:rPr>
            </w:pPr>
            <w:r>
              <w:rPr>
                <w:rFonts w:ascii="Times New Roman" w:hAnsi="Times New Roman"/>
              </w:rPr>
              <w:t>0</w:t>
            </w:r>
          </w:p>
        </w:tc>
        <w:tc>
          <w:tcPr>
            <w:tcW w:w="681" w:type="dxa"/>
            <w:tcMar>
              <w:left w:w="57" w:type="dxa"/>
              <w:right w:w="57" w:type="dxa"/>
            </w:tcMar>
          </w:tcPr>
          <w:p>
            <w:pPr>
              <w:widowControl/>
              <w:jc w:val="center"/>
              <w:rPr>
                <w:rFonts w:ascii="Times New Roman" w:hAnsi="Times New Roman"/>
                <w:color w:val="000000"/>
                <w:sz w:val="20"/>
                <w:szCs w:val="20"/>
                <w:lang w:val="en"/>
              </w:rPr>
            </w:pPr>
            <w:r>
              <w:rPr>
                <w:rFonts w:ascii="Times New Roman" w:hAnsi="Times New Roman"/>
              </w:rPr>
              <w:t>0</w:t>
            </w:r>
          </w:p>
        </w:tc>
        <w:tc>
          <w:tcPr>
            <w:tcW w:w="681" w:type="dxa"/>
            <w:tcMar>
              <w:left w:w="57" w:type="dxa"/>
              <w:right w:w="57" w:type="dxa"/>
            </w:tcMar>
          </w:tcPr>
          <w:p>
            <w:pPr>
              <w:widowControl/>
              <w:jc w:val="center"/>
              <w:rPr>
                <w:rFonts w:ascii="Times New Roman" w:hAnsi="Times New Roman"/>
                <w:color w:val="000000"/>
                <w:sz w:val="20"/>
                <w:szCs w:val="20"/>
                <w:lang w:val="en"/>
              </w:rPr>
            </w:pPr>
            <w:r>
              <w:rPr>
                <w:rFonts w:ascii="Times New Roman" w:hAnsi="Times New Roman"/>
              </w:rPr>
              <w:t>0</w:t>
            </w:r>
          </w:p>
        </w:tc>
        <w:tc>
          <w:tcPr>
            <w:tcW w:w="681" w:type="dxa"/>
            <w:tcMar>
              <w:left w:w="57" w:type="dxa"/>
              <w:right w:w="57" w:type="dxa"/>
            </w:tcMar>
          </w:tcPr>
          <w:p>
            <w:pPr>
              <w:widowControl/>
              <w:jc w:val="center"/>
              <w:rPr>
                <w:rFonts w:ascii="Times New Roman" w:hAnsi="Times New Roman"/>
                <w:color w:val="000000"/>
                <w:sz w:val="20"/>
                <w:szCs w:val="20"/>
                <w:lang w:val="en"/>
              </w:rPr>
            </w:pPr>
            <w:r>
              <w:rPr>
                <w:rFonts w:ascii="Times New Roman" w:hAnsi="Times New Roman"/>
              </w:rPr>
              <w:t>0</w:t>
            </w:r>
          </w:p>
        </w:tc>
        <w:tc>
          <w:tcPr>
            <w:tcW w:w="681" w:type="dxa"/>
            <w:tcMar>
              <w:left w:w="57" w:type="dxa"/>
              <w:right w:w="57" w:type="dxa"/>
            </w:tcMar>
          </w:tcPr>
          <w:p>
            <w:pPr>
              <w:widowControl/>
              <w:jc w:val="center"/>
              <w:rPr>
                <w:rFonts w:ascii="Times New Roman" w:hAnsi="Times New Roman"/>
                <w:color w:val="000000"/>
                <w:sz w:val="20"/>
                <w:szCs w:val="20"/>
                <w:lang w:val="en"/>
              </w:rPr>
            </w:pPr>
            <w:r>
              <w:rPr>
                <w:rFonts w:ascii="Times New Roman" w:hAnsi="Times New Roman"/>
              </w:rPr>
              <w:t>0</w:t>
            </w:r>
          </w:p>
        </w:tc>
        <w:tc>
          <w:tcPr>
            <w:tcW w:w="695" w:type="dxa"/>
            <w:tcMar>
              <w:left w:w="57" w:type="dxa"/>
              <w:right w:w="57" w:type="dxa"/>
            </w:tcMar>
            <w:vAlign w:val="center"/>
          </w:tcPr>
          <w:p>
            <w:pPr>
              <w:widowControl/>
              <w:jc w:val="center"/>
              <w:rPr>
                <w:rFonts w:ascii="Times New Roman" w:hAnsi="Times New Roman"/>
                <w:color w:val="000000"/>
                <w:sz w:val="20"/>
                <w:szCs w:val="20"/>
              </w:rPr>
            </w:pPr>
            <w:r>
              <w:rPr>
                <w:rFonts w:ascii="Times New Roman" w:hAnsi="Times New Roman" w:eastAsia="等线"/>
                <w:color w:val="000000"/>
                <w:sz w:val="20"/>
                <w:szCs w:val="2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1" w:type="dxa"/>
            <w:vMerge w:val="restart"/>
            <w:tcMar>
              <w:left w:w="57" w:type="dxa"/>
              <w:right w:w="57" w:type="dxa"/>
            </w:tcMar>
            <w:vAlign w:val="cente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三、本年度办理结果</w:t>
            </w:r>
          </w:p>
        </w:tc>
        <w:tc>
          <w:tcPr>
            <w:tcW w:w="4105" w:type="dxa"/>
            <w:gridSpan w:val="2"/>
            <w:tcMar>
              <w:left w:w="57" w:type="dxa"/>
              <w:right w:w="57" w:type="dxa"/>
            </w:tcMar>
            <w:vAlign w:val="cente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（一）予以公开</w:t>
            </w:r>
          </w:p>
        </w:tc>
        <w:tc>
          <w:tcPr>
            <w:tcW w:w="777"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144</w:t>
            </w:r>
          </w:p>
        </w:tc>
        <w:tc>
          <w:tcPr>
            <w:tcW w:w="686"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6</w:t>
            </w:r>
          </w:p>
        </w:tc>
        <w:tc>
          <w:tcPr>
            <w:tcW w:w="681" w:type="dxa"/>
            <w:tcMar>
              <w:left w:w="57" w:type="dxa"/>
              <w:right w:w="57" w:type="dxa"/>
            </w:tcMar>
            <w:vAlign w:val="center"/>
          </w:tcPr>
          <w:p>
            <w:pPr>
              <w:widowControl/>
              <w:jc w:val="center"/>
              <w:rPr>
                <w:rFonts w:ascii="Times New Roman" w:hAnsi="Times New Roman"/>
                <w:color w:val="000000"/>
                <w:sz w:val="20"/>
                <w:szCs w:val="20"/>
                <w:lang w:val="en"/>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lang w:val="en"/>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lang w:val="en"/>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lang w:val="en"/>
              </w:rPr>
            </w:pPr>
            <w:r>
              <w:rPr>
                <w:rFonts w:hint="eastAsia" w:ascii="方正书宋_GBK" w:hAnsi="等线" w:eastAsia="方正书宋_GBK"/>
                <w:color w:val="000000"/>
                <w:sz w:val="20"/>
                <w:szCs w:val="20"/>
              </w:rPr>
              <w:t>0</w:t>
            </w:r>
          </w:p>
        </w:tc>
        <w:tc>
          <w:tcPr>
            <w:tcW w:w="695" w:type="dxa"/>
            <w:tcMar>
              <w:left w:w="57" w:type="dxa"/>
              <w:right w:w="57" w:type="dxa"/>
            </w:tcMar>
            <w:vAlign w:val="center"/>
          </w:tcPr>
          <w:p>
            <w:pPr>
              <w:widowControl/>
              <w:jc w:val="center"/>
              <w:rPr>
                <w:rFonts w:ascii="Times New Roman" w:hAnsi="Times New Roman"/>
                <w:color w:val="000000"/>
                <w:sz w:val="20"/>
                <w:szCs w:val="20"/>
                <w:lang w:val="en"/>
              </w:rPr>
            </w:pPr>
            <w:r>
              <w:rPr>
                <w:rFonts w:hint="eastAsia" w:ascii="方正书宋_GBK" w:hAnsi="等线" w:eastAsia="方正书宋_GBK"/>
                <w:color w:val="000000"/>
                <w:sz w:val="20"/>
                <w:szCs w:val="2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4105" w:type="dxa"/>
            <w:gridSpan w:val="2"/>
            <w:tcMar>
              <w:left w:w="57" w:type="dxa"/>
              <w:right w:w="57" w:type="dxa"/>
            </w:tcMar>
            <w:vAlign w:val="cente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（二）部分公开</w:t>
            </w:r>
            <w:r>
              <w:rPr>
                <w:rFonts w:ascii="Times New Roman" w:hAnsi="Times New Roman" w:eastAsia="楷体" w:cs="楷体"/>
                <w:color w:val="000000"/>
                <w:kern w:val="0"/>
                <w:sz w:val="20"/>
                <w:szCs w:val="20"/>
                <w:lang w:bidi="ar"/>
              </w:rPr>
              <w:t>（区分处理的，只计这一情形，不计其他情形）</w:t>
            </w:r>
          </w:p>
        </w:tc>
        <w:tc>
          <w:tcPr>
            <w:tcW w:w="777"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1</w:t>
            </w:r>
          </w:p>
        </w:tc>
        <w:tc>
          <w:tcPr>
            <w:tcW w:w="686"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lang w:val="en"/>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lang w:val="en"/>
              </w:rPr>
            </w:pPr>
            <w:r>
              <w:rPr>
                <w:rFonts w:ascii="Times New Roman" w:hAnsi="Times New Roman" w:eastAsia="等线"/>
                <w:color w:val="000000"/>
                <w:szCs w:val="21"/>
              </w:rPr>
              <w:t>0</w:t>
            </w:r>
          </w:p>
        </w:tc>
        <w:tc>
          <w:tcPr>
            <w:tcW w:w="681" w:type="dxa"/>
            <w:tcMar>
              <w:left w:w="57" w:type="dxa"/>
              <w:right w:w="57" w:type="dxa"/>
            </w:tcMar>
            <w:vAlign w:val="center"/>
          </w:tcPr>
          <w:p>
            <w:pPr>
              <w:widowControl/>
              <w:jc w:val="center"/>
              <w:rPr>
                <w:rFonts w:ascii="Times New Roman" w:hAnsi="Times New Roman"/>
                <w:color w:val="000000"/>
                <w:sz w:val="20"/>
                <w:szCs w:val="20"/>
                <w:lang w:val="en"/>
              </w:rPr>
            </w:pPr>
            <w:r>
              <w:rPr>
                <w:rFonts w:hint="eastAsia" w:ascii="方正书宋_GBK" w:hAnsi="等线" w:eastAsia="方正书宋_GBK"/>
                <w:color w:val="000000"/>
                <w:sz w:val="20"/>
                <w:szCs w:val="20"/>
              </w:rPr>
              <w:t>0</w:t>
            </w:r>
          </w:p>
        </w:tc>
        <w:tc>
          <w:tcPr>
            <w:tcW w:w="695"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restart"/>
            <w:tcMar>
              <w:left w:w="57" w:type="dxa"/>
              <w:right w:w="57" w:type="dxa"/>
            </w:tcMar>
            <w:vAlign w:val="cente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（三）不予公开</w:t>
            </w:r>
          </w:p>
        </w:tc>
        <w:tc>
          <w:tcPr>
            <w:tcW w:w="3167" w:type="dxa"/>
            <w:tcMar>
              <w:left w:w="57" w:type="dxa"/>
              <w:right w:w="57" w:type="dxa"/>
            </w:tcMa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1.属于国家秘密</w:t>
            </w:r>
          </w:p>
        </w:tc>
        <w:tc>
          <w:tcPr>
            <w:tcW w:w="777"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1</w:t>
            </w:r>
          </w:p>
        </w:tc>
        <w:tc>
          <w:tcPr>
            <w:tcW w:w="686"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95"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continue"/>
            <w:tcMar>
              <w:left w:w="57" w:type="dxa"/>
              <w:right w:w="57" w:type="dxa"/>
            </w:tcMar>
            <w:vAlign w:val="center"/>
          </w:tcPr>
          <w:p>
            <w:pPr>
              <w:rPr>
                <w:rFonts w:ascii="Times New Roman" w:hAnsi="Times New Roman"/>
                <w:color w:val="000000"/>
                <w:sz w:val="20"/>
                <w:szCs w:val="20"/>
              </w:rPr>
            </w:pPr>
          </w:p>
        </w:tc>
        <w:tc>
          <w:tcPr>
            <w:tcW w:w="3167" w:type="dxa"/>
            <w:tcMar>
              <w:left w:w="57" w:type="dxa"/>
              <w:right w:w="57" w:type="dxa"/>
            </w:tcMa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2.其他法律行政法规禁止公开</w:t>
            </w:r>
          </w:p>
        </w:tc>
        <w:tc>
          <w:tcPr>
            <w:tcW w:w="777"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6"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ascii="Times New Roman" w:hAnsi="Times New Roman" w:eastAsia="等线"/>
                <w:color w:val="000000"/>
                <w:szCs w:val="21"/>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95"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continue"/>
            <w:tcMar>
              <w:left w:w="57" w:type="dxa"/>
              <w:right w:w="57" w:type="dxa"/>
            </w:tcMar>
            <w:vAlign w:val="center"/>
          </w:tcPr>
          <w:p>
            <w:pPr>
              <w:rPr>
                <w:rFonts w:ascii="Times New Roman" w:hAnsi="Times New Roman"/>
                <w:color w:val="000000"/>
                <w:sz w:val="20"/>
                <w:szCs w:val="20"/>
              </w:rPr>
            </w:pPr>
          </w:p>
        </w:tc>
        <w:tc>
          <w:tcPr>
            <w:tcW w:w="3167" w:type="dxa"/>
            <w:tcMar>
              <w:left w:w="57" w:type="dxa"/>
              <w:right w:w="57" w:type="dxa"/>
            </w:tcMa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3.危及“三安全一稳定”</w:t>
            </w:r>
          </w:p>
        </w:tc>
        <w:tc>
          <w:tcPr>
            <w:tcW w:w="777"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2</w:t>
            </w:r>
          </w:p>
        </w:tc>
        <w:tc>
          <w:tcPr>
            <w:tcW w:w="686"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95"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continue"/>
            <w:tcMar>
              <w:left w:w="57" w:type="dxa"/>
              <w:right w:w="57" w:type="dxa"/>
            </w:tcMar>
            <w:vAlign w:val="center"/>
          </w:tcPr>
          <w:p>
            <w:pPr>
              <w:rPr>
                <w:rFonts w:ascii="Times New Roman" w:hAnsi="Times New Roman"/>
                <w:color w:val="000000"/>
                <w:sz w:val="20"/>
                <w:szCs w:val="20"/>
              </w:rPr>
            </w:pPr>
          </w:p>
        </w:tc>
        <w:tc>
          <w:tcPr>
            <w:tcW w:w="3167" w:type="dxa"/>
            <w:tcMar>
              <w:left w:w="57" w:type="dxa"/>
              <w:right w:w="57" w:type="dxa"/>
            </w:tcMa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4.保护第三方合法权益</w:t>
            </w:r>
          </w:p>
        </w:tc>
        <w:tc>
          <w:tcPr>
            <w:tcW w:w="777"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6"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ascii="Times New Roman" w:hAnsi="Times New Roman" w:eastAsia="等线"/>
                <w:color w:val="000000"/>
                <w:szCs w:val="21"/>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95"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continue"/>
            <w:tcMar>
              <w:left w:w="57" w:type="dxa"/>
              <w:right w:w="57" w:type="dxa"/>
            </w:tcMar>
            <w:vAlign w:val="center"/>
          </w:tcPr>
          <w:p>
            <w:pPr>
              <w:rPr>
                <w:rFonts w:ascii="Times New Roman" w:hAnsi="Times New Roman"/>
                <w:color w:val="000000"/>
                <w:sz w:val="20"/>
                <w:szCs w:val="20"/>
              </w:rPr>
            </w:pPr>
          </w:p>
        </w:tc>
        <w:tc>
          <w:tcPr>
            <w:tcW w:w="3167" w:type="dxa"/>
            <w:tcMar>
              <w:left w:w="57" w:type="dxa"/>
              <w:right w:w="57" w:type="dxa"/>
            </w:tcMa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5.属于三类内部事务信息</w:t>
            </w:r>
          </w:p>
        </w:tc>
        <w:tc>
          <w:tcPr>
            <w:tcW w:w="777"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2</w:t>
            </w:r>
          </w:p>
        </w:tc>
        <w:tc>
          <w:tcPr>
            <w:tcW w:w="686"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95" w:type="dxa"/>
            <w:tcMar>
              <w:left w:w="57" w:type="dxa"/>
              <w:right w:w="57" w:type="dxa"/>
            </w:tcMar>
            <w:vAlign w:val="center"/>
          </w:tcPr>
          <w:p>
            <w:pPr>
              <w:widowControl/>
              <w:jc w:val="center"/>
              <w:rPr>
                <w:rFonts w:ascii="Times New Roman" w:hAnsi="Times New Roman"/>
                <w:color w:val="000000"/>
                <w:sz w:val="20"/>
                <w:szCs w:val="20"/>
                <w:lang w:val="en"/>
              </w:rPr>
            </w:pPr>
            <w:r>
              <w:rPr>
                <w:rFonts w:hint="eastAsia" w:ascii="方正书宋_GBK" w:hAnsi="等线" w:eastAsia="方正书宋_GBK"/>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continue"/>
            <w:tcMar>
              <w:left w:w="57" w:type="dxa"/>
              <w:right w:w="57" w:type="dxa"/>
            </w:tcMar>
            <w:vAlign w:val="center"/>
          </w:tcPr>
          <w:p>
            <w:pPr>
              <w:rPr>
                <w:rFonts w:ascii="Times New Roman" w:hAnsi="Times New Roman"/>
                <w:color w:val="000000"/>
                <w:sz w:val="20"/>
                <w:szCs w:val="20"/>
              </w:rPr>
            </w:pPr>
          </w:p>
        </w:tc>
        <w:tc>
          <w:tcPr>
            <w:tcW w:w="3167" w:type="dxa"/>
            <w:tcMar>
              <w:left w:w="57" w:type="dxa"/>
              <w:right w:w="57" w:type="dxa"/>
            </w:tcMa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6.属于四类过程性信息</w:t>
            </w:r>
          </w:p>
        </w:tc>
        <w:tc>
          <w:tcPr>
            <w:tcW w:w="777"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6"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1</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95"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continue"/>
            <w:tcMar>
              <w:left w:w="57" w:type="dxa"/>
              <w:right w:w="57" w:type="dxa"/>
            </w:tcMar>
            <w:vAlign w:val="center"/>
          </w:tcPr>
          <w:p>
            <w:pPr>
              <w:rPr>
                <w:rFonts w:ascii="Times New Roman" w:hAnsi="Times New Roman"/>
                <w:color w:val="000000"/>
                <w:sz w:val="20"/>
                <w:szCs w:val="20"/>
              </w:rPr>
            </w:pPr>
          </w:p>
        </w:tc>
        <w:tc>
          <w:tcPr>
            <w:tcW w:w="3167" w:type="dxa"/>
            <w:tcMar>
              <w:left w:w="57" w:type="dxa"/>
              <w:right w:w="57" w:type="dxa"/>
            </w:tcMa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7.属于行政执法案卷</w:t>
            </w:r>
          </w:p>
        </w:tc>
        <w:tc>
          <w:tcPr>
            <w:tcW w:w="777"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1</w:t>
            </w:r>
          </w:p>
        </w:tc>
        <w:tc>
          <w:tcPr>
            <w:tcW w:w="686"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95"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continue"/>
            <w:tcMar>
              <w:left w:w="57" w:type="dxa"/>
              <w:right w:w="57" w:type="dxa"/>
            </w:tcMar>
            <w:vAlign w:val="center"/>
          </w:tcPr>
          <w:p>
            <w:pPr>
              <w:rPr>
                <w:rFonts w:ascii="Times New Roman" w:hAnsi="Times New Roman"/>
                <w:color w:val="000000"/>
                <w:sz w:val="20"/>
                <w:szCs w:val="20"/>
              </w:rPr>
            </w:pPr>
          </w:p>
        </w:tc>
        <w:tc>
          <w:tcPr>
            <w:tcW w:w="3167" w:type="dxa"/>
            <w:tcMar>
              <w:left w:w="57" w:type="dxa"/>
              <w:right w:w="57" w:type="dxa"/>
            </w:tcMa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8.属于行政查询事项</w:t>
            </w:r>
          </w:p>
        </w:tc>
        <w:tc>
          <w:tcPr>
            <w:tcW w:w="777"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2</w:t>
            </w:r>
          </w:p>
        </w:tc>
        <w:tc>
          <w:tcPr>
            <w:tcW w:w="686"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95"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restart"/>
            <w:tcMar>
              <w:left w:w="57" w:type="dxa"/>
              <w:right w:w="57" w:type="dxa"/>
            </w:tcMar>
            <w:vAlign w:val="cente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（四）无法提供</w:t>
            </w:r>
          </w:p>
        </w:tc>
        <w:tc>
          <w:tcPr>
            <w:tcW w:w="3167" w:type="dxa"/>
            <w:tcMar>
              <w:left w:w="57" w:type="dxa"/>
              <w:right w:w="57" w:type="dxa"/>
            </w:tcMa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1.本机关不掌握相关政府信息</w:t>
            </w:r>
          </w:p>
        </w:tc>
        <w:tc>
          <w:tcPr>
            <w:tcW w:w="777"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147</w:t>
            </w:r>
          </w:p>
        </w:tc>
        <w:tc>
          <w:tcPr>
            <w:tcW w:w="686"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4</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95" w:type="dxa"/>
            <w:tcMar>
              <w:left w:w="57" w:type="dxa"/>
              <w:right w:w="57" w:type="dxa"/>
            </w:tcMar>
            <w:vAlign w:val="center"/>
          </w:tcPr>
          <w:p>
            <w:pPr>
              <w:widowControl/>
              <w:jc w:val="center"/>
              <w:rPr>
                <w:rFonts w:ascii="Times New Roman" w:hAnsi="Times New Roman"/>
                <w:color w:val="000000"/>
                <w:sz w:val="20"/>
                <w:szCs w:val="20"/>
                <w:lang w:val="en"/>
              </w:rPr>
            </w:pPr>
            <w:r>
              <w:rPr>
                <w:rFonts w:hint="eastAsia" w:ascii="方正书宋_GBK" w:hAnsi="等线" w:eastAsia="方正书宋_GBK"/>
                <w:color w:val="000000"/>
                <w:sz w:val="20"/>
                <w:szCs w:val="20"/>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continue"/>
            <w:tcMar>
              <w:left w:w="57" w:type="dxa"/>
              <w:right w:w="57" w:type="dxa"/>
            </w:tcMar>
            <w:vAlign w:val="center"/>
          </w:tcPr>
          <w:p>
            <w:pPr>
              <w:rPr>
                <w:rFonts w:ascii="Times New Roman" w:hAnsi="Times New Roman"/>
                <w:color w:val="000000"/>
                <w:sz w:val="20"/>
                <w:szCs w:val="20"/>
              </w:rPr>
            </w:pPr>
          </w:p>
        </w:tc>
        <w:tc>
          <w:tcPr>
            <w:tcW w:w="3167" w:type="dxa"/>
            <w:tcMar>
              <w:left w:w="57" w:type="dxa"/>
              <w:right w:w="57" w:type="dxa"/>
            </w:tcMa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2.没有现成信息需要另行制作</w:t>
            </w:r>
          </w:p>
        </w:tc>
        <w:tc>
          <w:tcPr>
            <w:tcW w:w="777"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4</w:t>
            </w:r>
          </w:p>
        </w:tc>
        <w:tc>
          <w:tcPr>
            <w:tcW w:w="686"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95"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continue"/>
            <w:tcMar>
              <w:left w:w="57" w:type="dxa"/>
              <w:right w:w="57" w:type="dxa"/>
            </w:tcMar>
            <w:vAlign w:val="center"/>
          </w:tcPr>
          <w:p>
            <w:pPr>
              <w:rPr>
                <w:rFonts w:ascii="Times New Roman" w:hAnsi="Times New Roman"/>
                <w:color w:val="000000"/>
                <w:sz w:val="20"/>
                <w:szCs w:val="20"/>
              </w:rPr>
            </w:pPr>
          </w:p>
        </w:tc>
        <w:tc>
          <w:tcPr>
            <w:tcW w:w="3167" w:type="dxa"/>
            <w:tcMar>
              <w:left w:w="57" w:type="dxa"/>
              <w:right w:w="57" w:type="dxa"/>
            </w:tcMa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3.补正后申请内容仍不明确</w:t>
            </w:r>
          </w:p>
        </w:tc>
        <w:tc>
          <w:tcPr>
            <w:tcW w:w="777"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6"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95"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restart"/>
            <w:tcMar>
              <w:left w:w="57" w:type="dxa"/>
              <w:right w:w="57" w:type="dxa"/>
            </w:tcMar>
            <w:vAlign w:val="cente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（五）不予处理</w:t>
            </w:r>
          </w:p>
        </w:tc>
        <w:tc>
          <w:tcPr>
            <w:tcW w:w="3167" w:type="dxa"/>
            <w:tcMar>
              <w:left w:w="57" w:type="dxa"/>
              <w:right w:w="57" w:type="dxa"/>
            </w:tcMa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1.信访举报投诉类申请</w:t>
            </w:r>
          </w:p>
        </w:tc>
        <w:tc>
          <w:tcPr>
            <w:tcW w:w="777"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5</w:t>
            </w:r>
          </w:p>
        </w:tc>
        <w:tc>
          <w:tcPr>
            <w:tcW w:w="686"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1</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95"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continue"/>
            <w:tcMar>
              <w:left w:w="57" w:type="dxa"/>
              <w:right w:w="57" w:type="dxa"/>
            </w:tcMar>
            <w:vAlign w:val="center"/>
          </w:tcPr>
          <w:p>
            <w:pPr>
              <w:rPr>
                <w:rFonts w:ascii="Times New Roman" w:hAnsi="Times New Roman"/>
                <w:color w:val="000000"/>
                <w:sz w:val="20"/>
                <w:szCs w:val="20"/>
              </w:rPr>
            </w:pPr>
          </w:p>
        </w:tc>
        <w:tc>
          <w:tcPr>
            <w:tcW w:w="3167" w:type="dxa"/>
            <w:tcMar>
              <w:left w:w="57" w:type="dxa"/>
              <w:right w:w="57" w:type="dxa"/>
            </w:tcMa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2.重复申请</w:t>
            </w:r>
          </w:p>
        </w:tc>
        <w:tc>
          <w:tcPr>
            <w:tcW w:w="777"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2</w:t>
            </w:r>
          </w:p>
        </w:tc>
        <w:tc>
          <w:tcPr>
            <w:tcW w:w="686"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95"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continue"/>
            <w:tcMar>
              <w:left w:w="57" w:type="dxa"/>
              <w:right w:w="57" w:type="dxa"/>
            </w:tcMar>
            <w:vAlign w:val="center"/>
          </w:tcPr>
          <w:p>
            <w:pPr>
              <w:rPr>
                <w:rFonts w:ascii="Times New Roman" w:hAnsi="Times New Roman"/>
                <w:color w:val="000000"/>
                <w:sz w:val="20"/>
                <w:szCs w:val="20"/>
              </w:rPr>
            </w:pPr>
          </w:p>
        </w:tc>
        <w:tc>
          <w:tcPr>
            <w:tcW w:w="3167" w:type="dxa"/>
            <w:tcMar>
              <w:left w:w="57" w:type="dxa"/>
              <w:right w:w="57" w:type="dxa"/>
            </w:tcMa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3.要求提供公开出版物</w:t>
            </w:r>
          </w:p>
        </w:tc>
        <w:tc>
          <w:tcPr>
            <w:tcW w:w="777"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6"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95"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continue"/>
            <w:tcMar>
              <w:left w:w="57" w:type="dxa"/>
              <w:right w:w="57" w:type="dxa"/>
            </w:tcMar>
            <w:vAlign w:val="center"/>
          </w:tcPr>
          <w:p>
            <w:pPr>
              <w:rPr>
                <w:rFonts w:ascii="Times New Roman" w:hAnsi="Times New Roman"/>
                <w:color w:val="000000"/>
                <w:sz w:val="20"/>
                <w:szCs w:val="20"/>
              </w:rPr>
            </w:pPr>
          </w:p>
        </w:tc>
        <w:tc>
          <w:tcPr>
            <w:tcW w:w="3167" w:type="dxa"/>
            <w:tcMar>
              <w:left w:w="57" w:type="dxa"/>
              <w:right w:w="57" w:type="dxa"/>
            </w:tcMa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4.无正当理由大量反复申请</w:t>
            </w:r>
          </w:p>
        </w:tc>
        <w:tc>
          <w:tcPr>
            <w:tcW w:w="777"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6"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95"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7" w:hRule="atLeast"/>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continue"/>
            <w:tcMar>
              <w:left w:w="57" w:type="dxa"/>
              <w:right w:w="57" w:type="dxa"/>
            </w:tcMar>
            <w:vAlign w:val="center"/>
          </w:tcPr>
          <w:p>
            <w:pPr>
              <w:rPr>
                <w:rFonts w:ascii="Times New Roman" w:hAnsi="Times New Roman"/>
                <w:color w:val="000000"/>
                <w:sz w:val="20"/>
                <w:szCs w:val="20"/>
              </w:rPr>
            </w:pPr>
          </w:p>
        </w:tc>
        <w:tc>
          <w:tcPr>
            <w:tcW w:w="3167" w:type="dxa"/>
            <w:tcMar>
              <w:left w:w="57" w:type="dxa"/>
              <w:right w:w="57" w:type="dxa"/>
            </w:tcMar>
            <w:vAlign w:val="center"/>
          </w:tcPr>
          <w:p>
            <w:pPr>
              <w:widowControl/>
              <w:rPr>
                <w:rFonts w:ascii="Times New Roman" w:hAnsi="Times New Roman"/>
                <w:color w:val="000000"/>
                <w:sz w:val="20"/>
                <w:szCs w:val="20"/>
              </w:rPr>
            </w:pPr>
            <w:r>
              <w:rPr>
                <w:rFonts w:hint="eastAsia" w:ascii="Times New Roman" w:hAnsi="Times New Roman" w:cs="宋体"/>
                <w:color w:val="000000"/>
                <w:kern w:val="0"/>
                <w:sz w:val="20"/>
                <w:szCs w:val="20"/>
                <w:lang w:bidi="ar"/>
              </w:rPr>
              <w:t>5.要求行政机关确认或重新出具已获取信息</w:t>
            </w:r>
          </w:p>
        </w:tc>
        <w:tc>
          <w:tcPr>
            <w:tcW w:w="777"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6"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95"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restart"/>
            <w:tcMar>
              <w:left w:w="57" w:type="dxa"/>
              <w:right w:w="57" w:type="dxa"/>
            </w:tcMar>
            <w:vAlign w:val="cente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（六）其他处理</w:t>
            </w:r>
          </w:p>
        </w:tc>
        <w:tc>
          <w:tcPr>
            <w:tcW w:w="3167" w:type="dxa"/>
            <w:tcMar>
              <w:left w:w="57" w:type="dxa"/>
              <w:right w:w="57" w:type="dxa"/>
            </w:tcMar>
            <w:vAlign w:val="center"/>
          </w:tcPr>
          <w:p>
            <w:pPr>
              <w:widowControl/>
              <w:rPr>
                <w:rFonts w:ascii="Times New Roman" w:hAnsi="Times New Roman"/>
                <w:color w:val="000000"/>
                <w:sz w:val="20"/>
                <w:szCs w:val="20"/>
              </w:rPr>
            </w:pPr>
            <w:r>
              <w:rPr>
                <w:rFonts w:ascii="Times New Roman" w:hAnsi="Times New Roman"/>
                <w:color w:val="000000"/>
                <w:kern w:val="0"/>
                <w:sz w:val="20"/>
                <w:szCs w:val="20"/>
                <w:lang w:bidi="ar"/>
              </w:rPr>
              <w:t>1.申请人无正当理由逾期不补正、行政机关不再处理其政府信息公开申请</w:t>
            </w:r>
          </w:p>
        </w:tc>
        <w:tc>
          <w:tcPr>
            <w:tcW w:w="777"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10</w:t>
            </w:r>
          </w:p>
        </w:tc>
        <w:tc>
          <w:tcPr>
            <w:tcW w:w="686"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2</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95"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continue"/>
            <w:tcMar>
              <w:left w:w="57" w:type="dxa"/>
              <w:right w:w="57" w:type="dxa"/>
            </w:tcMar>
            <w:vAlign w:val="center"/>
          </w:tcPr>
          <w:p>
            <w:pPr>
              <w:rPr>
                <w:rFonts w:ascii="Times New Roman" w:hAnsi="Times New Roman"/>
                <w:color w:val="000000"/>
                <w:sz w:val="20"/>
                <w:szCs w:val="20"/>
              </w:rPr>
            </w:pPr>
          </w:p>
        </w:tc>
        <w:tc>
          <w:tcPr>
            <w:tcW w:w="3167" w:type="dxa"/>
            <w:tcMar>
              <w:left w:w="57" w:type="dxa"/>
              <w:right w:w="57" w:type="dxa"/>
            </w:tcMar>
            <w:vAlign w:val="center"/>
          </w:tcPr>
          <w:p>
            <w:pPr>
              <w:widowControl/>
              <w:rPr>
                <w:rFonts w:ascii="Times New Roman" w:hAnsi="Times New Roman"/>
                <w:color w:val="000000"/>
                <w:sz w:val="20"/>
                <w:szCs w:val="20"/>
              </w:rPr>
            </w:pPr>
            <w:r>
              <w:rPr>
                <w:rFonts w:ascii="Times New Roman" w:hAnsi="Times New Roman"/>
                <w:color w:val="000000"/>
                <w:kern w:val="0"/>
                <w:sz w:val="20"/>
                <w:szCs w:val="20"/>
                <w:lang w:bidi="ar"/>
              </w:rPr>
              <w:t>2.申请人逾期未按收费通知要求缴纳费用、行政机关不再处理其政府信息公开申请</w:t>
            </w:r>
          </w:p>
        </w:tc>
        <w:tc>
          <w:tcPr>
            <w:tcW w:w="777"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6"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95"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938" w:type="dxa"/>
            <w:vMerge w:val="continue"/>
            <w:tcMar>
              <w:left w:w="57" w:type="dxa"/>
              <w:right w:w="57" w:type="dxa"/>
            </w:tcMar>
            <w:vAlign w:val="center"/>
          </w:tcPr>
          <w:p>
            <w:pPr>
              <w:rPr>
                <w:rFonts w:ascii="Times New Roman" w:hAnsi="Times New Roman"/>
                <w:color w:val="000000"/>
                <w:sz w:val="20"/>
                <w:szCs w:val="20"/>
              </w:rPr>
            </w:pPr>
          </w:p>
        </w:tc>
        <w:tc>
          <w:tcPr>
            <w:tcW w:w="3167" w:type="dxa"/>
            <w:tcMar>
              <w:left w:w="57" w:type="dxa"/>
              <w:right w:w="57" w:type="dxa"/>
            </w:tcMar>
            <w:vAlign w:val="center"/>
          </w:tcPr>
          <w:p>
            <w:pPr>
              <w:widowControl/>
              <w:jc w:val="left"/>
              <w:rPr>
                <w:rFonts w:ascii="Times New Roman" w:hAnsi="Times New Roman"/>
                <w:color w:val="000000"/>
                <w:sz w:val="20"/>
                <w:szCs w:val="20"/>
              </w:rPr>
            </w:pPr>
            <w:r>
              <w:rPr>
                <w:rFonts w:ascii="Times New Roman" w:hAnsi="Times New Roman"/>
                <w:color w:val="000000"/>
                <w:kern w:val="0"/>
                <w:sz w:val="20"/>
                <w:szCs w:val="20"/>
                <w:lang w:bidi="ar"/>
              </w:rPr>
              <w:t>3.其他</w:t>
            </w:r>
          </w:p>
        </w:tc>
        <w:tc>
          <w:tcPr>
            <w:tcW w:w="777"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4</w:t>
            </w:r>
          </w:p>
        </w:tc>
        <w:tc>
          <w:tcPr>
            <w:tcW w:w="686"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95"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1" w:type="dxa"/>
            <w:vMerge w:val="continue"/>
            <w:tcMar>
              <w:left w:w="57" w:type="dxa"/>
              <w:right w:w="57" w:type="dxa"/>
            </w:tcMar>
            <w:vAlign w:val="center"/>
          </w:tcPr>
          <w:p>
            <w:pPr>
              <w:rPr>
                <w:rFonts w:ascii="Times New Roman" w:hAnsi="Times New Roman"/>
                <w:color w:val="000000"/>
                <w:sz w:val="20"/>
                <w:szCs w:val="20"/>
              </w:rPr>
            </w:pPr>
          </w:p>
        </w:tc>
        <w:tc>
          <w:tcPr>
            <w:tcW w:w="4105" w:type="dxa"/>
            <w:gridSpan w:val="2"/>
            <w:tcMar>
              <w:left w:w="57" w:type="dxa"/>
              <w:right w:w="57" w:type="dxa"/>
            </w:tcMar>
            <w:vAlign w:val="cente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（七）总计</w:t>
            </w:r>
          </w:p>
        </w:tc>
        <w:tc>
          <w:tcPr>
            <w:tcW w:w="777"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325</w:t>
            </w:r>
          </w:p>
        </w:tc>
        <w:tc>
          <w:tcPr>
            <w:tcW w:w="686"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12</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2</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95" w:type="dxa"/>
            <w:tcMar>
              <w:left w:w="57" w:type="dxa"/>
              <w:right w:w="57" w:type="dxa"/>
            </w:tcMa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866" w:type="dxa"/>
            <w:gridSpan w:val="3"/>
            <w:tcMar>
              <w:left w:w="57" w:type="dxa"/>
              <w:right w:w="57" w:type="dxa"/>
            </w:tcMar>
            <w:vAlign w:val="center"/>
          </w:tcPr>
          <w:p>
            <w:pPr>
              <w:widowControl/>
              <w:jc w:val="left"/>
              <w:rPr>
                <w:rFonts w:ascii="Times New Roman" w:hAnsi="Times New Roman"/>
                <w:color w:val="000000"/>
                <w:sz w:val="20"/>
                <w:szCs w:val="20"/>
              </w:rPr>
            </w:pPr>
            <w:r>
              <w:rPr>
                <w:rFonts w:hint="eastAsia" w:ascii="Times New Roman" w:hAnsi="Times New Roman" w:cs="宋体"/>
                <w:color w:val="000000"/>
                <w:kern w:val="0"/>
                <w:sz w:val="20"/>
                <w:szCs w:val="20"/>
                <w:lang w:bidi="ar"/>
              </w:rPr>
              <w:t>四、结转下年度继续办理</w:t>
            </w:r>
          </w:p>
        </w:tc>
        <w:tc>
          <w:tcPr>
            <w:tcW w:w="777" w:type="dxa"/>
            <w:tcMar>
              <w:left w:w="57" w:type="dxa"/>
              <w:right w:w="57" w:type="dxa"/>
            </w:tcMar>
            <w:vAlign w:val="center"/>
          </w:tcPr>
          <w:p>
            <w:pPr>
              <w:widowControl/>
              <w:jc w:val="center"/>
              <w:rPr>
                <w:rFonts w:ascii="Times New Roman" w:hAnsi="Times New Roman"/>
                <w:color w:val="000000"/>
                <w:sz w:val="20"/>
                <w:szCs w:val="20"/>
                <w:lang w:val="en"/>
              </w:rPr>
            </w:pPr>
            <w:r>
              <w:rPr>
                <w:rFonts w:hint="eastAsia" w:ascii="方正书宋_GBK" w:hAnsi="等线" w:eastAsia="方正书宋_GBK"/>
                <w:color w:val="000000"/>
                <w:sz w:val="20"/>
                <w:szCs w:val="20"/>
              </w:rPr>
              <w:t>5</w:t>
            </w:r>
            <w:r>
              <w:rPr>
                <w:rFonts w:ascii="方正书宋_GBK" w:hAnsi="等线" w:eastAsia="方正书宋_GBK"/>
                <w:color w:val="000000"/>
                <w:sz w:val="20"/>
                <w:szCs w:val="20"/>
              </w:rPr>
              <w:t>6</w:t>
            </w:r>
          </w:p>
        </w:tc>
        <w:tc>
          <w:tcPr>
            <w:tcW w:w="686"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1</w:t>
            </w:r>
          </w:p>
        </w:tc>
        <w:tc>
          <w:tcPr>
            <w:tcW w:w="681" w:type="dxa"/>
            <w:tcMar>
              <w:left w:w="57" w:type="dxa"/>
              <w:right w:w="57" w:type="dxa"/>
            </w:tcMar>
            <w:vAlign w:val="center"/>
          </w:tcPr>
          <w:p>
            <w:pPr>
              <w:widowControl/>
              <w:jc w:val="center"/>
              <w:rPr>
                <w:rFonts w:ascii="Times New Roman" w:hAnsi="Times New Roman"/>
                <w:color w:val="000000"/>
                <w:sz w:val="20"/>
                <w:szCs w:val="20"/>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lang w:val="en"/>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sz w:val="20"/>
                <w:szCs w:val="20"/>
                <w:lang w:val="en"/>
              </w:rPr>
            </w:pPr>
            <w:r>
              <w:rPr>
                <w:rFonts w:hint="eastAsia" w:ascii="方正书宋_GBK" w:hAnsi="等线" w:eastAsia="方正书宋_GBK"/>
                <w:color w:val="000000"/>
                <w:sz w:val="20"/>
                <w:szCs w:val="20"/>
              </w:rPr>
              <w:t>0</w:t>
            </w:r>
          </w:p>
        </w:tc>
        <w:tc>
          <w:tcPr>
            <w:tcW w:w="681" w:type="dxa"/>
            <w:tcMar>
              <w:left w:w="57" w:type="dxa"/>
              <w:right w:w="57" w:type="dxa"/>
            </w:tcMar>
            <w:vAlign w:val="center"/>
          </w:tcPr>
          <w:p>
            <w:pPr>
              <w:widowControl/>
              <w:jc w:val="center"/>
              <w:rPr>
                <w:rFonts w:ascii="Times New Roman" w:hAnsi="Times New Roman"/>
                <w:color w:val="000000"/>
                <w:kern w:val="0"/>
                <w:sz w:val="20"/>
                <w:szCs w:val="20"/>
                <w:lang w:val="en" w:bidi="ar"/>
              </w:rPr>
            </w:pPr>
            <w:r>
              <w:rPr>
                <w:rFonts w:hint="eastAsia" w:ascii="方正书宋_GBK" w:hAnsi="等线" w:eastAsia="方正书宋_GBK"/>
                <w:color w:val="000000"/>
                <w:sz w:val="20"/>
                <w:szCs w:val="20"/>
              </w:rPr>
              <w:t>0</w:t>
            </w:r>
          </w:p>
        </w:tc>
        <w:tc>
          <w:tcPr>
            <w:tcW w:w="695" w:type="dxa"/>
            <w:tcMar>
              <w:left w:w="57" w:type="dxa"/>
              <w:right w:w="57" w:type="dxa"/>
            </w:tcMar>
            <w:vAlign w:val="center"/>
          </w:tcPr>
          <w:p>
            <w:pPr>
              <w:widowControl/>
              <w:jc w:val="center"/>
              <w:rPr>
                <w:rFonts w:ascii="Times New Roman" w:hAnsi="Times New Roman"/>
                <w:color w:val="000000"/>
                <w:kern w:val="0"/>
                <w:sz w:val="20"/>
                <w:szCs w:val="20"/>
                <w:lang w:bidi="ar"/>
              </w:rPr>
            </w:pPr>
            <w:r>
              <w:rPr>
                <w:rFonts w:hint="eastAsia" w:ascii="方正书宋_GBK" w:hAnsi="等线" w:eastAsia="方正书宋_GBK"/>
                <w:color w:val="000000"/>
                <w:sz w:val="20"/>
                <w:szCs w:val="20"/>
              </w:rPr>
              <w:t>5</w:t>
            </w:r>
            <w:r>
              <w:rPr>
                <w:rFonts w:ascii="方正书宋_GBK" w:hAnsi="等线" w:eastAsia="方正书宋_GBK"/>
                <w:color w:val="000000"/>
                <w:sz w:val="20"/>
                <w:szCs w:val="20"/>
              </w:rPr>
              <w:t>7</w:t>
            </w:r>
          </w:p>
        </w:tc>
      </w:tr>
    </w:tbl>
    <w:p>
      <w:pPr>
        <w:spacing w:line="600" w:lineRule="exact"/>
        <w:ind w:firstLine="640" w:firstLineChars="200"/>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四、政府信息公开行政复议、行政诉讼情况</w:t>
      </w:r>
    </w:p>
    <w:tbl>
      <w:tblPr>
        <w:tblStyle w:val="14"/>
        <w:tblW w:w="9748"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245" w:type="dxa"/>
            <w:gridSpan w:val="5"/>
            <w:tcBorders>
              <w:bottom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行政复议</w:t>
            </w:r>
          </w:p>
        </w:tc>
        <w:tc>
          <w:tcPr>
            <w:tcW w:w="6503" w:type="dxa"/>
            <w:gridSpan w:val="10"/>
            <w:tcBorders>
              <w:left w:val="single" w:color="auto" w:sz="4" w:space="0"/>
              <w:bottom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行政诉讼</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restart"/>
            <w:tcBorders>
              <w:top w:val="single" w:color="auto" w:sz="4" w:space="0"/>
              <w:bottom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结果维持</w:t>
            </w:r>
          </w:p>
        </w:tc>
        <w:tc>
          <w:tcPr>
            <w:tcW w:w="649"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结果</w:t>
            </w:r>
            <w:r>
              <w:rPr>
                <w:rFonts w:hint="eastAsia" w:ascii="Times New Roman" w:hAnsi="Times New Roman" w:cs="宋体"/>
                <w:color w:val="000000"/>
                <w:kern w:val="0"/>
                <w:sz w:val="20"/>
                <w:szCs w:val="20"/>
                <w:lang w:bidi="ar"/>
              </w:rPr>
              <w:br w:type="textWrapping"/>
            </w:r>
            <w:r>
              <w:rPr>
                <w:rFonts w:hint="eastAsia" w:ascii="Times New Roman" w:hAnsi="Times New Roman" w:cs="宋体"/>
                <w:color w:val="000000"/>
                <w:kern w:val="0"/>
                <w:sz w:val="20"/>
                <w:szCs w:val="20"/>
                <w:lang w:bidi="ar"/>
              </w:rPr>
              <w:t>纠正</w:t>
            </w:r>
          </w:p>
        </w:tc>
        <w:tc>
          <w:tcPr>
            <w:tcW w:w="649"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其他</w:t>
            </w:r>
            <w:r>
              <w:rPr>
                <w:rFonts w:hint="eastAsia" w:ascii="Times New Roman" w:hAnsi="Times New Roman" w:cs="宋体"/>
                <w:color w:val="000000"/>
                <w:kern w:val="0"/>
                <w:sz w:val="20"/>
                <w:szCs w:val="20"/>
                <w:lang w:bidi="ar"/>
              </w:rPr>
              <w:br w:type="textWrapping"/>
            </w:r>
            <w:r>
              <w:rPr>
                <w:rFonts w:hint="eastAsia" w:ascii="Times New Roman" w:hAnsi="Times New Roman" w:cs="宋体"/>
                <w:color w:val="000000"/>
                <w:kern w:val="0"/>
                <w:sz w:val="20"/>
                <w:szCs w:val="20"/>
                <w:lang w:bidi="ar"/>
              </w:rPr>
              <w:t>结果</w:t>
            </w:r>
          </w:p>
        </w:tc>
        <w:tc>
          <w:tcPr>
            <w:tcW w:w="649"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尚未</w:t>
            </w:r>
            <w:r>
              <w:rPr>
                <w:rFonts w:hint="eastAsia" w:ascii="Times New Roman" w:hAnsi="Times New Roman" w:cs="宋体"/>
                <w:color w:val="000000"/>
                <w:kern w:val="0"/>
                <w:sz w:val="20"/>
                <w:szCs w:val="20"/>
                <w:lang w:bidi="ar"/>
              </w:rPr>
              <w:br w:type="textWrapping"/>
            </w:r>
            <w:r>
              <w:rPr>
                <w:rFonts w:hint="eastAsia" w:ascii="Times New Roman" w:hAnsi="Times New Roman" w:cs="宋体"/>
                <w:color w:val="000000"/>
                <w:kern w:val="0"/>
                <w:sz w:val="20"/>
                <w:szCs w:val="20"/>
                <w:lang w:bidi="ar"/>
              </w:rPr>
              <w:t>审结</w:t>
            </w:r>
          </w:p>
        </w:tc>
        <w:tc>
          <w:tcPr>
            <w:tcW w:w="649"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总计</w:t>
            </w:r>
          </w:p>
        </w:tc>
        <w:tc>
          <w:tcPr>
            <w:tcW w:w="3248" w:type="dxa"/>
            <w:gridSpan w:val="5"/>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未经复议直接起诉</w:t>
            </w:r>
          </w:p>
        </w:tc>
        <w:tc>
          <w:tcPr>
            <w:tcW w:w="3255" w:type="dxa"/>
            <w:gridSpan w:val="5"/>
            <w:tcBorders>
              <w:top w:val="single" w:color="auto" w:sz="4" w:space="0"/>
              <w:left w:val="single" w:color="auto" w:sz="4" w:space="0"/>
              <w:bottom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复议后起诉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continue"/>
            <w:tcBorders>
              <w:top w:val="single" w:color="auto" w:sz="4" w:space="0"/>
              <w:bottom w:val="single" w:color="auto" w:sz="4" w:space="0"/>
              <w:right w:val="single" w:color="auto" w:sz="4" w:space="0"/>
            </w:tcBorders>
            <w:tcMar>
              <w:left w:w="108" w:type="dxa"/>
              <w:right w:w="108" w:type="dxa"/>
            </w:tcMar>
            <w:vAlign w:val="center"/>
          </w:tcPr>
          <w:p>
            <w:pPr>
              <w:rPr>
                <w:rFonts w:ascii="Times New Roman" w:hAnsi="Times New Roman"/>
                <w:color w:val="000000"/>
                <w:sz w:val="20"/>
                <w:szCs w:val="20"/>
              </w:rPr>
            </w:pPr>
          </w:p>
        </w:tc>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ascii="Times New Roman" w:hAnsi="Times New Roman"/>
                <w:color w:val="000000"/>
                <w:sz w:val="20"/>
                <w:szCs w:val="20"/>
              </w:rPr>
            </w:pPr>
          </w:p>
        </w:tc>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ascii="Times New Roman" w:hAnsi="Times New Roman"/>
                <w:color w:val="000000"/>
                <w:sz w:val="20"/>
                <w:szCs w:val="20"/>
              </w:rPr>
            </w:pPr>
          </w:p>
        </w:tc>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ascii="Times New Roman" w:hAnsi="Times New Roman"/>
                <w:color w:val="000000"/>
                <w:sz w:val="20"/>
                <w:szCs w:val="20"/>
              </w:rPr>
            </w:pPr>
          </w:p>
        </w:tc>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ascii="Times New Roman" w:hAnsi="Times New Roman"/>
                <w:color w:val="000000"/>
                <w:sz w:val="20"/>
                <w:szCs w:val="20"/>
              </w:rPr>
            </w:pP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结果</w:t>
            </w:r>
            <w:r>
              <w:rPr>
                <w:rFonts w:hint="eastAsia" w:ascii="Times New Roman" w:hAnsi="Times New Roman" w:cs="宋体"/>
                <w:color w:val="000000"/>
                <w:kern w:val="0"/>
                <w:sz w:val="20"/>
                <w:szCs w:val="20"/>
                <w:lang w:bidi="ar"/>
              </w:rPr>
              <w:br w:type="textWrapping"/>
            </w:r>
            <w:r>
              <w:rPr>
                <w:rFonts w:hint="eastAsia" w:ascii="Times New Roman" w:hAnsi="Times New Roman" w:cs="宋体"/>
                <w:color w:val="000000"/>
                <w:kern w:val="0"/>
                <w:sz w:val="20"/>
                <w:szCs w:val="20"/>
                <w:lang w:bidi="ar"/>
              </w:rPr>
              <w:t>维持</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结果</w:t>
            </w:r>
            <w:r>
              <w:rPr>
                <w:rFonts w:hint="eastAsia" w:ascii="Times New Roman" w:hAnsi="Times New Roman" w:cs="宋体"/>
                <w:color w:val="000000"/>
                <w:kern w:val="0"/>
                <w:sz w:val="20"/>
                <w:szCs w:val="20"/>
                <w:lang w:bidi="ar"/>
              </w:rPr>
              <w:br w:type="textWrapping"/>
            </w:r>
            <w:r>
              <w:rPr>
                <w:rFonts w:hint="eastAsia" w:ascii="Times New Roman" w:hAnsi="Times New Roman" w:cs="宋体"/>
                <w:color w:val="000000"/>
                <w:kern w:val="0"/>
                <w:sz w:val="20"/>
                <w:szCs w:val="20"/>
                <w:lang w:bidi="ar"/>
              </w:rPr>
              <w:t>纠正</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其他</w:t>
            </w:r>
            <w:r>
              <w:rPr>
                <w:rFonts w:hint="eastAsia" w:ascii="Times New Roman" w:hAnsi="Times New Roman" w:cs="宋体"/>
                <w:color w:val="000000"/>
                <w:kern w:val="0"/>
                <w:sz w:val="20"/>
                <w:szCs w:val="20"/>
                <w:lang w:bidi="ar"/>
              </w:rPr>
              <w:br w:type="textWrapping"/>
            </w:r>
            <w:r>
              <w:rPr>
                <w:rFonts w:hint="eastAsia" w:ascii="Times New Roman" w:hAnsi="Times New Roman" w:cs="宋体"/>
                <w:color w:val="000000"/>
                <w:kern w:val="0"/>
                <w:sz w:val="20"/>
                <w:szCs w:val="20"/>
                <w:lang w:bidi="ar"/>
              </w:rPr>
              <w:t>结果</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尚未</w:t>
            </w:r>
            <w:r>
              <w:rPr>
                <w:rFonts w:hint="eastAsia" w:ascii="Times New Roman" w:hAnsi="Times New Roman" w:cs="宋体"/>
                <w:color w:val="000000"/>
                <w:kern w:val="0"/>
                <w:sz w:val="20"/>
                <w:szCs w:val="20"/>
                <w:lang w:bidi="ar"/>
              </w:rPr>
              <w:br w:type="textWrapping"/>
            </w:r>
            <w:r>
              <w:rPr>
                <w:rFonts w:hint="eastAsia" w:ascii="Times New Roman" w:hAnsi="Times New Roman" w:cs="宋体"/>
                <w:color w:val="000000"/>
                <w:kern w:val="0"/>
                <w:sz w:val="20"/>
                <w:szCs w:val="20"/>
                <w:lang w:bidi="ar"/>
              </w:rPr>
              <w:t>审结</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总计</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结果</w:t>
            </w:r>
            <w:r>
              <w:rPr>
                <w:rFonts w:hint="eastAsia" w:ascii="Times New Roman" w:hAnsi="Times New Roman" w:cs="宋体"/>
                <w:color w:val="000000"/>
                <w:kern w:val="0"/>
                <w:sz w:val="20"/>
                <w:szCs w:val="20"/>
                <w:lang w:bidi="ar"/>
              </w:rPr>
              <w:br w:type="textWrapping"/>
            </w:r>
            <w:r>
              <w:rPr>
                <w:rFonts w:hint="eastAsia" w:ascii="Times New Roman" w:hAnsi="Times New Roman" w:cs="宋体"/>
                <w:color w:val="000000"/>
                <w:kern w:val="0"/>
                <w:sz w:val="20"/>
                <w:szCs w:val="20"/>
                <w:lang w:bidi="ar"/>
              </w:rPr>
              <w:t>维持</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结果</w:t>
            </w:r>
            <w:r>
              <w:rPr>
                <w:rFonts w:hint="eastAsia" w:ascii="Times New Roman" w:hAnsi="Times New Roman" w:cs="宋体"/>
                <w:color w:val="000000"/>
                <w:kern w:val="0"/>
                <w:sz w:val="20"/>
                <w:szCs w:val="20"/>
                <w:lang w:bidi="ar"/>
              </w:rPr>
              <w:br w:type="textWrapping"/>
            </w:r>
            <w:r>
              <w:rPr>
                <w:rFonts w:hint="eastAsia" w:ascii="Times New Roman" w:hAnsi="Times New Roman" w:cs="宋体"/>
                <w:color w:val="000000"/>
                <w:kern w:val="0"/>
                <w:sz w:val="20"/>
                <w:szCs w:val="20"/>
                <w:lang w:bidi="ar"/>
              </w:rPr>
              <w:t>纠正</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其他</w:t>
            </w:r>
            <w:r>
              <w:rPr>
                <w:rFonts w:hint="eastAsia" w:ascii="Times New Roman" w:hAnsi="Times New Roman" w:cs="宋体"/>
                <w:color w:val="000000"/>
                <w:kern w:val="0"/>
                <w:sz w:val="20"/>
                <w:szCs w:val="20"/>
                <w:lang w:bidi="ar"/>
              </w:rPr>
              <w:br w:type="textWrapping"/>
            </w:r>
            <w:r>
              <w:rPr>
                <w:rFonts w:hint="eastAsia" w:ascii="Times New Roman" w:hAnsi="Times New Roman" w:cs="宋体"/>
                <w:color w:val="000000"/>
                <w:kern w:val="0"/>
                <w:sz w:val="20"/>
                <w:szCs w:val="20"/>
                <w:lang w:bidi="ar"/>
              </w:rPr>
              <w:t>结果</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尚未</w:t>
            </w:r>
            <w:r>
              <w:rPr>
                <w:rFonts w:hint="eastAsia" w:ascii="Times New Roman" w:hAnsi="Times New Roman" w:cs="宋体"/>
                <w:color w:val="000000"/>
                <w:kern w:val="0"/>
                <w:sz w:val="20"/>
                <w:szCs w:val="20"/>
                <w:lang w:bidi="ar"/>
              </w:rPr>
              <w:br w:type="textWrapping"/>
            </w:r>
            <w:r>
              <w:rPr>
                <w:rFonts w:hint="eastAsia" w:ascii="Times New Roman" w:hAnsi="Times New Roman" w:cs="宋体"/>
                <w:color w:val="000000"/>
                <w:kern w:val="0"/>
                <w:sz w:val="20"/>
                <w:szCs w:val="20"/>
                <w:lang w:bidi="ar"/>
              </w:rPr>
              <w:t>审结</w:t>
            </w:r>
          </w:p>
        </w:tc>
        <w:tc>
          <w:tcPr>
            <w:tcW w:w="651" w:type="dxa"/>
            <w:tcBorders>
              <w:top w:val="single" w:color="auto" w:sz="4" w:space="0"/>
              <w:left w:val="single" w:color="auto" w:sz="4" w:space="0"/>
              <w:bottom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s="宋体"/>
                <w:color w:val="000000"/>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olor w:val="000000"/>
                <w:sz w:val="20"/>
                <w:szCs w:val="20"/>
              </w:rPr>
              <w:t>1</w:t>
            </w:r>
            <w:r>
              <w:rPr>
                <w:rFonts w:ascii="Times New Roman" w:hAnsi="Times New Roman"/>
                <w:color w:val="000000"/>
                <w:sz w:val="20"/>
                <w:szCs w:val="20"/>
              </w:rPr>
              <w:t>5</w:t>
            </w:r>
          </w:p>
        </w:tc>
        <w:tc>
          <w:tcPr>
            <w:tcW w:w="649" w:type="dxa"/>
            <w:tcBorders>
              <w:top w:val="single" w:color="auto" w:sz="4" w:space="0"/>
              <w:left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olor w:val="000000"/>
                <w:sz w:val="20"/>
                <w:szCs w:val="20"/>
              </w:rPr>
              <w:t>0</w:t>
            </w:r>
          </w:p>
        </w:tc>
        <w:tc>
          <w:tcPr>
            <w:tcW w:w="649" w:type="dxa"/>
            <w:tcBorders>
              <w:top w:val="single" w:color="auto" w:sz="4" w:space="0"/>
              <w:left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olor w:val="000000"/>
                <w:sz w:val="20"/>
                <w:szCs w:val="20"/>
              </w:rPr>
              <w:t>0</w:t>
            </w:r>
          </w:p>
        </w:tc>
        <w:tc>
          <w:tcPr>
            <w:tcW w:w="649" w:type="dxa"/>
            <w:tcBorders>
              <w:top w:val="single" w:color="auto" w:sz="4" w:space="0"/>
              <w:left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ascii="Times New Roman" w:hAnsi="Times New Roman"/>
                <w:color w:val="000000"/>
                <w:sz w:val="20"/>
                <w:szCs w:val="20"/>
              </w:rPr>
              <w:t>2</w:t>
            </w:r>
          </w:p>
        </w:tc>
        <w:tc>
          <w:tcPr>
            <w:tcW w:w="649" w:type="dxa"/>
            <w:tcBorders>
              <w:top w:val="single" w:color="auto" w:sz="4" w:space="0"/>
              <w:left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olor w:val="000000"/>
                <w:sz w:val="20"/>
                <w:szCs w:val="20"/>
              </w:rPr>
              <w:t>1</w:t>
            </w:r>
            <w:r>
              <w:rPr>
                <w:rFonts w:ascii="Times New Roman" w:hAnsi="Times New Roman"/>
                <w:color w:val="000000"/>
                <w:sz w:val="20"/>
                <w:szCs w:val="20"/>
              </w:rPr>
              <w:t>7</w:t>
            </w:r>
          </w:p>
        </w:tc>
        <w:tc>
          <w:tcPr>
            <w:tcW w:w="649" w:type="dxa"/>
            <w:tcBorders>
              <w:top w:val="single" w:color="auto" w:sz="4" w:space="0"/>
              <w:left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olor w:val="000000"/>
                <w:sz w:val="20"/>
                <w:szCs w:val="20"/>
              </w:rPr>
              <w:t>6</w:t>
            </w:r>
          </w:p>
        </w:tc>
        <w:tc>
          <w:tcPr>
            <w:tcW w:w="649" w:type="dxa"/>
            <w:tcBorders>
              <w:top w:val="single" w:color="auto" w:sz="4" w:space="0"/>
              <w:left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olor w:val="000000"/>
                <w:sz w:val="20"/>
                <w:szCs w:val="20"/>
              </w:rPr>
              <w:t>0</w:t>
            </w:r>
          </w:p>
        </w:tc>
        <w:tc>
          <w:tcPr>
            <w:tcW w:w="650" w:type="dxa"/>
            <w:tcBorders>
              <w:top w:val="single" w:color="auto" w:sz="4" w:space="0"/>
              <w:left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olor w:val="000000"/>
                <w:sz w:val="20"/>
                <w:szCs w:val="20"/>
              </w:rPr>
              <w:t>0</w:t>
            </w:r>
          </w:p>
        </w:tc>
        <w:tc>
          <w:tcPr>
            <w:tcW w:w="650" w:type="dxa"/>
            <w:tcBorders>
              <w:top w:val="single" w:color="auto" w:sz="4" w:space="0"/>
              <w:left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olor w:val="000000"/>
                <w:sz w:val="20"/>
                <w:szCs w:val="20"/>
              </w:rPr>
              <w:t>0</w:t>
            </w:r>
          </w:p>
        </w:tc>
        <w:tc>
          <w:tcPr>
            <w:tcW w:w="650" w:type="dxa"/>
            <w:tcBorders>
              <w:top w:val="single" w:color="auto" w:sz="4" w:space="0"/>
              <w:left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olor w:val="000000"/>
                <w:sz w:val="20"/>
                <w:szCs w:val="20"/>
              </w:rPr>
              <w:t>6</w:t>
            </w:r>
          </w:p>
        </w:tc>
        <w:tc>
          <w:tcPr>
            <w:tcW w:w="651" w:type="dxa"/>
            <w:tcBorders>
              <w:top w:val="single" w:color="auto" w:sz="4" w:space="0"/>
              <w:left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olor w:val="000000"/>
                <w:sz w:val="20"/>
                <w:szCs w:val="20"/>
              </w:rPr>
              <w:t>3</w:t>
            </w:r>
          </w:p>
        </w:tc>
        <w:tc>
          <w:tcPr>
            <w:tcW w:w="651" w:type="dxa"/>
            <w:tcBorders>
              <w:top w:val="single" w:color="auto" w:sz="4" w:space="0"/>
              <w:left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olor w:val="000000"/>
                <w:sz w:val="20"/>
                <w:szCs w:val="20"/>
              </w:rPr>
              <w:t>0</w:t>
            </w:r>
          </w:p>
        </w:tc>
        <w:tc>
          <w:tcPr>
            <w:tcW w:w="651" w:type="dxa"/>
            <w:tcBorders>
              <w:top w:val="single" w:color="auto" w:sz="4" w:space="0"/>
              <w:left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olor w:val="000000"/>
                <w:sz w:val="20"/>
                <w:szCs w:val="20"/>
              </w:rPr>
              <w:t>0</w:t>
            </w:r>
          </w:p>
        </w:tc>
        <w:tc>
          <w:tcPr>
            <w:tcW w:w="651" w:type="dxa"/>
            <w:tcBorders>
              <w:top w:val="single" w:color="auto" w:sz="4" w:space="0"/>
              <w:left w:val="single" w:color="auto" w:sz="4" w:space="0"/>
              <w:righ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olor w:val="000000"/>
                <w:sz w:val="20"/>
                <w:szCs w:val="20"/>
              </w:rPr>
              <w:t>0</w:t>
            </w:r>
          </w:p>
        </w:tc>
        <w:tc>
          <w:tcPr>
            <w:tcW w:w="651" w:type="dxa"/>
            <w:tcBorders>
              <w:top w:val="single" w:color="auto" w:sz="4" w:space="0"/>
              <w:left w:val="single" w:color="auto" w:sz="4" w:space="0"/>
            </w:tcBorders>
            <w:tcMar>
              <w:left w:w="108" w:type="dxa"/>
              <w:right w:w="108" w:type="dxa"/>
            </w:tcMar>
            <w:vAlign w:val="center"/>
          </w:tcPr>
          <w:p>
            <w:pPr>
              <w:widowControl/>
              <w:jc w:val="center"/>
              <w:rPr>
                <w:rFonts w:ascii="Times New Roman" w:hAnsi="Times New Roman"/>
                <w:color w:val="000000"/>
                <w:sz w:val="20"/>
                <w:szCs w:val="20"/>
              </w:rPr>
            </w:pPr>
            <w:r>
              <w:rPr>
                <w:rFonts w:hint="eastAsia" w:ascii="Times New Roman" w:hAnsi="Times New Roman"/>
                <w:color w:val="000000"/>
                <w:sz w:val="20"/>
                <w:szCs w:val="20"/>
              </w:rPr>
              <w:t>3</w:t>
            </w:r>
          </w:p>
        </w:tc>
      </w:tr>
    </w:tbl>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五、存在的主要问题及改进情况</w:t>
      </w:r>
    </w:p>
    <w:p>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sz w:val="32"/>
          <w:szCs w:val="32"/>
        </w:rPr>
        <w:t>针对公开精准度不够、政策</w:t>
      </w:r>
      <w:r>
        <w:rPr>
          <w:rFonts w:hint="eastAsia" w:ascii="Times New Roman" w:hAnsi="Times New Roman" w:eastAsia="方正仿宋_GBK" w:cs="方正仿宋_GBK"/>
          <w:sz w:val="32"/>
          <w:szCs w:val="32"/>
        </w:rPr>
        <w:t>解读质量不高、公开意识不强等问题，2</w:t>
      </w:r>
      <w:r>
        <w:rPr>
          <w:rFonts w:ascii="Times New Roman" w:hAnsi="Times New Roman" w:eastAsia="方正仿宋_GBK" w:cs="方正仿宋_GBK"/>
          <w:sz w:val="32"/>
          <w:szCs w:val="32"/>
        </w:rPr>
        <w:t>022</w:t>
      </w:r>
      <w:r>
        <w:rPr>
          <w:rFonts w:hint="eastAsia" w:ascii="Times New Roman" w:hAnsi="Times New Roman" w:eastAsia="方正仿宋_GBK" w:cs="方正仿宋_GBK"/>
          <w:sz w:val="32"/>
          <w:szCs w:val="32"/>
        </w:rPr>
        <w:t>年采取以下改进措施：</w:t>
      </w:r>
      <w:r>
        <w:rPr>
          <w:rFonts w:hint="eastAsia" w:ascii="Times New Roman" w:hAnsi="Times New Roman" w:eastAsia="方正仿宋_GBK"/>
          <w:b/>
          <w:bCs/>
          <w:sz w:val="32"/>
          <w:szCs w:val="32"/>
        </w:rPr>
        <w:t>一是</w:t>
      </w:r>
      <w:r>
        <w:rPr>
          <w:rFonts w:hint="eastAsia" w:ascii="Times New Roman" w:hAnsi="Times New Roman" w:eastAsia="方正仿宋_GBK"/>
          <w:sz w:val="32"/>
          <w:szCs w:val="32"/>
        </w:rPr>
        <w:t>出台制度文件，进一步规范政策性文件公开工作流程，并通过内部办公系统进行流程固化。</w:t>
      </w:r>
      <w:r>
        <w:rPr>
          <w:rFonts w:hint="eastAsia" w:ascii="Times New Roman" w:hAnsi="Times New Roman" w:eastAsia="方正仿宋_GBK"/>
          <w:b/>
          <w:bCs/>
          <w:sz w:val="32"/>
          <w:szCs w:val="32"/>
        </w:rPr>
        <w:t>二是</w:t>
      </w:r>
      <w:r>
        <w:rPr>
          <w:rFonts w:hint="eastAsia" w:ascii="Times New Roman" w:hAnsi="Times New Roman" w:eastAsia="方正仿宋_GBK"/>
          <w:sz w:val="32"/>
          <w:szCs w:val="32"/>
        </w:rPr>
        <w:t>搭建政策解读交流平台，及时提醒起草单位开展政策解读，不定期推送政策解读典型案例，加强政策解读信息审核把关，不断</w:t>
      </w:r>
      <w:r>
        <w:rPr>
          <w:rFonts w:hint="eastAsia" w:ascii="Times New Roman" w:hAnsi="Times New Roman" w:eastAsia="方正仿宋_GBK"/>
          <w:sz w:val="32"/>
          <w:shd w:val="clear" w:color="auto" w:fill="FFFFFF"/>
        </w:rPr>
        <w:t>提高政策解读质量。</w:t>
      </w:r>
      <w:r>
        <w:rPr>
          <w:rFonts w:hint="eastAsia" w:ascii="Times New Roman" w:hAnsi="Times New Roman" w:eastAsia="方正仿宋_GBK"/>
          <w:b/>
          <w:bCs/>
          <w:sz w:val="32"/>
          <w:szCs w:val="32"/>
        </w:rPr>
        <w:t>三是</w:t>
      </w:r>
      <w:r>
        <w:rPr>
          <w:rFonts w:hint="eastAsia" w:ascii="Times New Roman" w:hAnsi="Times New Roman" w:eastAsia="方正仿宋_GBK"/>
          <w:sz w:val="32"/>
          <w:szCs w:val="32"/>
        </w:rPr>
        <w:t>持之以恒开展政务公开、</w:t>
      </w:r>
      <w:r>
        <w:rPr>
          <w:rFonts w:hint="eastAsia" w:ascii="Times New Roman" w:hAnsi="Times New Roman" w:eastAsia="方正仿宋_GBK"/>
          <w:sz w:val="32"/>
          <w:shd w:val="clear" w:color="auto" w:fill="FFFFFF"/>
        </w:rPr>
        <w:t>政府网站和政务新媒体业务培训</w:t>
      </w:r>
      <w:r>
        <w:rPr>
          <w:rFonts w:hint="eastAsia" w:ascii="Times New Roman" w:hAnsi="Times New Roman" w:eastAsia="方正仿宋_GBK"/>
          <w:sz w:val="32"/>
          <w:szCs w:val="32"/>
        </w:rPr>
        <w:t>，持之以恒开展上门服务和日常指导。更加注重案例分享和“以案说法”，引导全市各级行政机关</w:t>
      </w:r>
      <w:r>
        <w:rPr>
          <w:rFonts w:hint="eastAsia" w:ascii="Times New Roman" w:hAnsi="Times New Roman" w:eastAsia="方正仿宋_GBK"/>
          <w:sz w:val="32"/>
          <w:shd w:val="clear" w:color="auto" w:fill="FFFFFF"/>
        </w:rPr>
        <w:t>不断强化公开意识。</w:t>
      </w:r>
    </w:p>
    <w:p>
      <w:pPr>
        <w:spacing w:line="600" w:lineRule="exact"/>
        <w:ind w:firstLine="640" w:firstLineChars="200"/>
        <w:rPr>
          <w:rFonts w:ascii="Times New Roman" w:hAnsi="Times New Roman" w:eastAsia="方正黑体_GBK" w:cs="方正黑体_GBK"/>
          <w:sz w:val="32"/>
          <w:shd w:val="clear" w:color="auto" w:fill="FFFFFF"/>
        </w:rPr>
      </w:pPr>
      <w:r>
        <w:rPr>
          <w:rFonts w:hint="eastAsia" w:ascii="Times New Roman" w:hAnsi="Times New Roman" w:eastAsia="方正黑体_GBK" w:cs="方正黑体_GBK"/>
          <w:sz w:val="32"/>
          <w:shd w:val="clear" w:color="auto" w:fill="FFFFFF"/>
        </w:rPr>
        <w:t>六、其他需要报告的事项</w:t>
      </w:r>
    </w:p>
    <w:p>
      <w:pPr>
        <w:spacing w:line="600" w:lineRule="exact"/>
        <w:ind w:firstLine="640" w:firstLineChars="200"/>
        <w:rPr>
          <w:rFonts w:ascii="Times New Roman" w:hAnsi="Times New Roman" w:eastAsia="方正仿宋_GBK"/>
          <w:sz w:val="32"/>
          <w:shd w:val="clear" w:color="auto" w:fill="FFFFFF"/>
        </w:rPr>
      </w:pPr>
      <w:r>
        <w:rPr>
          <w:rFonts w:hint="eastAsia" w:ascii="Times New Roman" w:hAnsi="Times New Roman" w:eastAsia="方正仿宋_GBK"/>
          <w:sz w:val="32"/>
          <w:shd w:val="clear" w:color="auto" w:fill="FFFFFF"/>
        </w:rPr>
        <w:t>本机关严格落实《政府信息公开条例》和《国务院办公厅关于印发202</w:t>
      </w:r>
      <w:r>
        <w:rPr>
          <w:rFonts w:ascii="Times New Roman" w:hAnsi="Times New Roman" w:eastAsia="方正仿宋_GBK"/>
          <w:sz w:val="32"/>
          <w:shd w:val="clear" w:color="auto" w:fill="FFFFFF"/>
        </w:rPr>
        <w:t>2</w:t>
      </w:r>
      <w:r>
        <w:rPr>
          <w:rFonts w:hint="eastAsia" w:ascii="Times New Roman" w:hAnsi="Times New Roman" w:eastAsia="方正仿宋_GBK"/>
          <w:sz w:val="32"/>
          <w:shd w:val="clear" w:color="auto" w:fill="FFFFFF"/>
        </w:rPr>
        <w:t>年政务公开工作要点的通知》（国办发〔2022〕8号）要求，完成政务公开各项工作。本机关未收取信息处理费。</w:t>
      </w:r>
    </w:p>
    <w:sectPr>
      <w:footerReference r:id="rId3" w:type="default"/>
      <w:pgSz w:w="11906" w:h="16838"/>
      <w:pgMar w:top="2098" w:right="1474" w:bottom="1984" w:left="1587" w:header="850"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0000000000000000000"/>
    <w:charset w:val="86"/>
    <w:family w:val="auto"/>
    <w:pitch w:val="default"/>
    <w:sig w:usb0="00000000" w:usb1="00000000" w:usb2="00000016" w:usb3="00000000" w:csb0="602E0107"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方正书宋_GBK">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5" o:spid="_x0000_s1025"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NotTrackMoves/>
  <w:documentProtection w:enforcement="0"/>
  <w:defaultTabStop w:val="420"/>
  <w:drawingGridHorizontalSpacing w:val="1"/>
  <w:drawingGridVerticalSpacing w:val="1"/>
  <w:doNotUseMarginsForDrawingGridOrigin w:val="1"/>
  <w:drawingGridHorizontalOrigin w:val="0"/>
  <w:drawingGridVerticalOrigin w:val="0"/>
  <w:noPunctuationKerning w:val="1"/>
  <w:characterSpacingControl w:val="compressPunctuation"/>
  <w:doNotValidateAgainstSchema/>
  <w:doNotDemarcateInvalidXml/>
  <w:hdrShapeDefaults>
    <o:shapelayout v:ext="edit">
      <o:idmap v:ext="edit" data="1"/>
    </o:shapelayout>
  </w:hdrShapeDefaults>
  <w:compat>
    <w:noLeading/>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721"/>
    <w:rsid w:val="0000236D"/>
    <w:rsid w:val="000048D0"/>
    <w:rsid w:val="00004D30"/>
    <w:rsid w:val="00014E24"/>
    <w:rsid w:val="00017822"/>
    <w:rsid w:val="00021A66"/>
    <w:rsid w:val="0002288F"/>
    <w:rsid w:val="00046CED"/>
    <w:rsid w:val="00051FA8"/>
    <w:rsid w:val="00056DC4"/>
    <w:rsid w:val="00060B51"/>
    <w:rsid w:val="00064CBD"/>
    <w:rsid w:val="00076249"/>
    <w:rsid w:val="00076C58"/>
    <w:rsid w:val="000819A9"/>
    <w:rsid w:val="00083E7A"/>
    <w:rsid w:val="000874A5"/>
    <w:rsid w:val="00091736"/>
    <w:rsid w:val="00094E27"/>
    <w:rsid w:val="000A7965"/>
    <w:rsid w:val="000B0151"/>
    <w:rsid w:val="000D1D96"/>
    <w:rsid w:val="000D3EBF"/>
    <w:rsid w:val="000E5662"/>
    <w:rsid w:val="000E62B1"/>
    <w:rsid w:val="000F181F"/>
    <w:rsid w:val="00116AE0"/>
    <w:rsid w:val="00122024"/>
    <w:rsid w:val="00122E38"/>
    <w:rsid w:val="00123A24"/>
    <w:rsid w:val="001532DD"/>
    <w:rsid w:val="00154481"/>
    <w:rsid w:val="00154E93"/>
    <w:rsid w:val="00155A80"/>
    <w:rsid w:val="00157D0E"/>
    <w:rsid w:val="00167D42"/>
    <w:rsid w:val="00171271"/>
    <w:rsid w:val="001743E4"/>
    <w:rsid w:val="001800A7"/>
    <w:rsid w:val="00187044"/>
    <w:rsid w:val="0019086A"/>
    <w:rsid w:val="001954AF"/>
    <w:rsid w:val="00196057"/>
    <w:rsid w:val="001A44E6"/>
    <w:rsid w:val="001A792D"/>
    <w:rsid w:val="001B58E4"/>
    <w:rsid w:val="001C276C"/>
    <w:rsid w:val="001C436B"/>
    <w:rsid w:val="001D247B"/>
    <w:rsid w:val="001E24D7"/>
    <w:rsid w:val="001F0196"/>
    <w:rsid w:val="001F143B"/>
    <w:rsid w:val="0020302E"/>
    <w:rsid w:val="00203071"/>
    <w:rsid w:val="00210E41"/>
    <w:rsid w:val="00212146"/>
    <w:rsid w:val="0022579C"/>
    <w:rsid w:val="002402E9"/>
    <w:rsid w:val="002572F5"/>
    <w:rsid w:val="002614D0"/>
    <w:rsid w:val="00267629"/>
    <w:rsid w:val="002705C6"/>
    <w:rsid w:val="00280E6B"/>
    <w:rsid w:val="002872D6"/>
    <w:rsid w:val="002A2D7E"/>
    <w:rsid w:val="002B3963"/>
    <w:rsid w:val="002C257F"/>
    <w:rsid w:val="002C47D6"/>
    <w:rsid w:val="002C753E"/>
    <w:rsid w:val="002D516A"/>
    <w:rsid w:val="002D78F2"/>
    <w:rsid w:val="002D7E72"/>
    <w:rsid w:val="002E2BA3"/>
    <w:rsid w:val="002E6526"/>
    <w:rsid w:val="002F397A"/>
    <w:rsid w:val="002F3E4B"/>
    <w:rsid w:val="002F439D"/>
    <w:rsid w:val="003159B0"/>
    <w:rsid w:val="00320477"/>
    <w:rsid w:val="003224EA"/>
    <w:rsid w:val="003329FE"/>
    <w:rsid w:val="003332C8"/>
    <w:rsid w:val="003341EF"/>
    <w:rsid w:val="00334E30"/>
    <w:rsid w:val="00337B6C"/>
    <w:rsid w:val="00352520"/>
    <w:rsid w:val="00361D78"/>
    <w:rsid w:val="003629B1"/>
    <w:rsid w:val="00364624"/>
    <w:rsid w:val="003777F7"/>
    <w:rsid w:val="003862EA"/>
    <w:rsid w:val="00392816"/>
    <w:rsid w:val="00393606"/>
    <w:rsid w:val="003B2E23"/>
    <w:rsid w:val="003C24D0"/>
    <w:rsid w:val="003C628F"/>
    <w:rsid w:val="003D7B61"/>
    <w:rsid w:val="003E2D28"/>
    <w:rsid w:val="003F4D87"/>
    <w:rsid w:val="0040108E"/>
    <w:rsid w:val="00413151"/>
    <w:rsid w:val="00416E8B"/>
    <w:rsid w:val="004171A5"/>
    <w:rsid w:val="004317E7"/>
    <w:rsid w:val="00445DCA"/>
    <w:rsid w:val="00445F61"/>
    <w:rsid w:val="00451FED"/>
    <w:rsid w:val="00454A8A"/>
    <w:rsid w:val="0045505D"/>
    <w:rsid w:val="00456B43"/>
    <w:rsid w:val="00457844"/>
    <w:rsid w:val="0046137C"/>
    <w:rsid w:val="004614C1"/>
    <w:rsid w:val="004641FE"/>
    <w:rsid w:val="00470044"/>
    <w:rsid w:val="00472FC0"/>
    <w:rsid w:val="00483A29"/>
    <w:rsid w:val="0049385B"/>
    <w:rsid w:val="004A5709"/>
    <w:rsid w:val="004B1A92"/>
    <w:rsid w:val="004B31DF"/>
    <w:rsid w:val="004B538E"/>
    <w:rsid w:val="004C4648"/>
    <w:rsid w:val="004D0FA1"/>
    <w:rsid w:val="004D10C7"/>
    <w:rsid w:val="004D410E"/>
    <w:rsid w:val="004D65AE"/>
    <w:rsid w:val="004E7555"/>
    <w:rsid w:val="004F0B22"/>
    <w:rsid w:val="004F0C84"/>
    <w:rsid w:val="004F2A41"/>
    <w:rsid w:val="00504B42"/>
    <w:rsid w:val="00527153"/>
    <w:rsid w:val="00547F4D"/>
    <w:rsid w:val="00550281"/>
    <w:rsid w:val="00555824"/>
    <w:rsid w:val="00555B39"/>
    <w:rsid w:val="00574409"/>
    <w:rsid w:val="005752CA"/>
    <w:rsid w:val="00587074"/>
    <w:rsid w:val="00591810"/>
    <w:rsid w:val="00597A69"/>
    <w:rsid w:val="005A19DA"/>
    <w:rsid w:val="005A3385"/>
    <w:rsid w:val="005B22EC"/>
    <w:rsid w:val="005C7794"/>
    <w:rsid w:val="005D25B0"/>
    <w:rsid w:val="005D3920"/>
    <w:rsid w:val="005D4F4B"/>
    <w:rsid w:val="005D7DF6"/>
    <w:rsid w:val="005E227E"/>
    <w:rsid w:val="005F0037"/>
    <w:rsid w:val="005F0944"/>
    <w:rsid w:val="005F60B1"/>
    <w:rsid w:val="005F7559"/>
    <w:rsid w:val="00600E1E"/>
    <w:rsid w:val="00603CC4"/>
    <w:rsid w:val="00614539"/>
    <w:rsid w:val="00616C63"/>
    <w:rsid w:val="006171A7"/>
    <w:rsid w:val="0062433C"/>
    <w:rsid w:val="006262EB"/>
    <w:rsid w:val="00634CCA"/>
    <w:rsid w:val="0064665F"/>
    <w:rsid w:val="00654EBE"/>
    <w:rsid w:val="00656A56"/>
    <w:rsid w:val="00656D91"/>
    <w:rsid w:val="006642C1"/>
    <w:rsid w:val="00670721"/>
    <w:rsid w:val="0067624F"/>
    <w:rsid w:val="00681F26"/>
    <w:rsid w:val="006936E6"/>
    <w:rsid w:val="006A7570"/>
    <w:rsid w:val="006B114A"/>
    <w:rsid w:val="006D09D4"/>
    <w:rsid w:val="006D10A9"/>
    <w:rsid w:val="006E27BA"/>
    <w:rsid w:val="00710D28"/>
    <w:rsid w:val="007116F4"/>
    <w:rsid w:val="00712267"/>
    <w:rsid w:val="007164DE"/>
    <w:rsid w:val="00741856"/>
    <w:rsid w:val="00756E7A"/>
    <w:rsid w:val="007622BA"/>
    <w:rsid w:val="00764939"/>
    <w:rsid w:val="00766B68"/>
    <w:rsid w:val="00767620"/>
    <w:rsid w:val="00771E55"/>
    <w:rsid w:val="007901DB"/>
    <w:rsid w:val="00794171"/>
    <w:rsid w:val="007A16BD"/>
    <w:rsid w:val="007A556A"/>
    <w:rsid w:val="007B200F"/>
    <w:rsid w:val="007B77BE"/>
    <w:rsid w:val="007C443F"/>
    <w:rsid w:val="007D0072"/>
    <w:rsid w:val="007D2AA2"/>
    <w:rsid w:val="007D7762"/>
    <w:rsid w:val="007E0526"/>
    <w:rsid w:val="008075FD"/>
    <w:rsid w:val="00812229"/>
    <w:rsid w:val="008173D0"/>
    <w:rsid w:val="00820CB6"/>
    <w:rsid w:val="008227AD"/>
    <w:rsid w:val="00827E59"/>
    <w:rsid w:val="00833603"/>
    <w:rsid w:val="00851388"/>
    <w:rsid w:val="00851CB6"/>
    <w:rsid w:val="00857A7E"/>
    <w:rsid w:val="00860E9C"/>
    <w:rsid w:val="00872DB9"/>
    <w:rsid w:val="0088361B"/>
    <w:rsid w:val="00886A57"/>
    <w:rsid w:val="00887D52"/>
    <w:rsid w:val="008A2CE3"/>
    <w:rsid w:val="008A64C5"/>
    <w:rsid w:val="008A6B72"/>
    <w:rsid w:val="008B6636"/>
    <w:rsid w:val="008B760F"/>
    <w:rsid w:val="008E4189"/>
    <w:rsid w:val="008F0B57"/>
    <w:rsid w:val="0092476C"/>
    <w:rsid w:val="009334B6"/>
    <w:rsid w:val="0094304C"/>
    <w:rsid w:val="00946228"/>
    <w:rsid w:val="00967016"/>
    <w:rsid w:val="009770F5"/>
    <w:rsid w:val="00990643"/>
    <w:rsid w:val="0099605B"/>
    <w:rsid w:val="009B67C6"/>
    <w:rsid w:val="009C2BD0"/>
    <w:rsid w:val="009C769F"/>
    <w:rsid w:val="009D13A7"/>
    <w:rsid w:val="009D600B"/>
    <w:rsid w:val="009E16BD"/>
    <w:rsid w:val="009E39BF"/>
    <w:rsid w:val="009F13DE"/>
    <w:rsid w:val="009F22EF"/>
    <w:rsid w:val="009F73B0"/>
    <w:rsid w:val="00A27583"/>
    <w:rsid w:val="00A401FD"/>
    <w:rsid w:val="00A57389"/>
    <w:rsid w:val="00A60F97"/>
    <w:rsid w:val="00A763D3"/>
    <w:rsid w:val="00A9164F"/>
    <w:rsid w:val="00A9411A"/>
    <w:rsid w:val="00A9789C"/>
    <w:rsid w:val="00AA4592"/>
    <w:rsid w:val="00AB5ED9"/>
    <w:rsid w:val="00AC3587"/>
    <w:rsid w:val="00AD2F4B"/>
    <w:rsid w:val="00AD7CB9"/>
    <w:rsid w:val="00AE2CB8"/>
    <w:rsid w:val="00AF6136"/>
    <w:rsid w:val="00B015A1"/>
    <w:rsid w:val="00B14E22"/>
    <w:rsid w:val="00B15690"/>
    <w:rsid w:val="00B20A82"/>
    <w:rsid w:val="00B429E3"/>
    <w:rsid w:val="00B50970"/>
    <w:rsid w:val="00B538EE"/>
    <w:rsid w:val="00B57408"/>
    <w:rsid w:val="00B57496"/>
    <w:rsid w:val="00B721BE"/>
    <w:rsid w:val="00B83CBB"/>
    <w:rsid w:val="00B9247E"/>
    <w:rsid w:val="00B942B3"/>
    <w:rsid w:val="00BC2102"/>
    <w:rsid w:val="00BC4792"/>
    <w:rsid w:val="00BC4C20"/>
    <w:rsid w:val="00BC74DC"/>
    <w:rsid w:val="00BC7CA1"/>
    <w:rsid w:val="00BD3E4C"/>
    <w:rsid w:val="00BD4101"/>
    <w:rsid w:val="00BE034C"/>
    <w:rsid w:val="00BE58D6"/>
    <w:rsid w:val="00C047E9"/>
    <w:rsid w:val="00C20C8D"/>
    <w:rsid w:val="00C324E1"/>
    <w:rsid w:val="00C3347E"/>
    <w:rsid w:val="00C348C1"/>
    <w:rsid w:val="00C469BC"/>
    <w:rsid w:val="00C46B9A"/>
    <w:rsid w:val="00C634AC"/>
    <w:rsid w:val="00C63E5F"/>
    <w:rsid w:val="00C66314"/>
    <w:rsid w:val="00C721F5"/>
    <w:rsid w:val="00C87ED3"/>
    <w:rsid w:val="00C902C7"/>
    <w:rsid w:val="00CA26B2"/>
    <w:rsid w:val="00CA7FE8"/>
    <w:rsid w:val="00CB567D"/>
    <w:rsid w:val="00CB79B1"/>
    <w:rsid w:val="00CB7C80"/>
    <w:rsid w:val="00CC13C9"/>
    <w:rsid w:val="00CC36F4"/>
    <w:rsid w:val="00CD6492"/>
    <w:rsid w:val="00CE19F1"/>
    <w:rsid w:val="00CE2C3A"/>
    <w:rsid w:val="00CE3473"/>
    <w:rsid w:val="00CF319D"/>
    <w:rsid w:val="00CF4AFD"/>
    <w:rsid w:val="00D00070"/>
    <w:rsid w:val="00D00D51"/>
    <w:rsid w:val="00D055BE"/>
    <w:rsid w:val="00D0782E"/>
    <w:rsid w:val="00D13A67"/>
    <w:rsid w:val="00D16CE4"/>
    <w:rsid w:val="00D21D28"/>
    <w:rsid w:val="00D307D7"/>
    <w:rsid w:val="00D35FD2"/>
    <w:rsid w:val="00D50C2A"/>
    <w:rsid w:val="00D5258A"/>
    <w:rsid w:val="00D56E63"/>
    <w:rsid w:val="00D66E83"/>
    <w:rsid w:val="00D67B1B"/>
    <w:rsid w:val="00D7071E"/>
    <w:rsid w:val="00D81805"/>
    <w:rsid w:val="00D81EAF"/>
    <w:rsid w:val="00D84358"/>
    <w:rsid w:val="00D901D8"/>
    <w:rsid w:val="00D92582"/>
    <w:rsid w:val="00D93C2F"/>
    <w:rsid w:val="00DA5152"/>
    <w:rsid w:val="00DB2450"/>
    <w:rsid w:val="00DC6002"/>
    <w:rsid w:val="00DC6FFB"/>
    <w:rsid w:val="00DC70E3"/>
    <w:rsid w:val="00DC7A0F"/>
    <w:rsid w:val="00DD2C25"/>
    <w:rsid w:val="00DD5CAE"/>
    <w:rsid w:val="00DD5E87"/>
    <w:rsid w:val="00DE1DDD"/>
    <w:rsid w:val="00DE7A37"/>
    <w:rsid w:val="00E06603"/>
    <w:rsid w:val="00E1624D"/>
    <w:rsid w:val="00E2601E"/>
    <w:rsid w:val="00E27459"/>
    <w:rsid w:val="00E30859"/>
    <w:rsid w:val="00E425A6"/>
    <w:rsid w:val="00E52711"/>
    <w:rsid w:val="00E60935"/>
    <w:rsid w:val="00E619F7"/>
    <w:rsid w:val="00E649BE"/>
    <w:rsid w:val="00E706CD"/>
    <w:rsid w:val="00E71D5A"/>
    <w:rsid w:val="00E72387"/>
    <w:rsid w:val="00E723B0"/>
    <w:rsid w:val="00E74FBC"/>
    <w:rsid w:val="00E81C2E"/>
    <w:rsid w:val="00E8449A"/>
    <w:rsid w:val="00E867CD"/>
    <w:rsid w:val="00EA15C3"/>
    <w:rsid w:val="00EB08F5"/>
    <w:rsid w:val="00EB28B6"/>
    <w:rsid w:val="00EB40D9"/>
    <w:rsid w:val="00EB5529"/>
    <w:rsid w:val="00EC3550"/>
    <w:rsid w:val="00EC4EF3"/>
    <w:rsid w:val="00EC5516"/>
    <w:rsid w:val="00ED3DA1"/>
    <w:rsid w:val="00ED4AA9"/>
    <w:rsid w:val="00EE6A5C"/>
    <w:rsid w:val="00EE74BE"/>
    <w:rsid w:val="00EF63A3"/>
    <w:rsid w:val="00F04828"/>
    <w:rsid w:val="00F04EA2"/>
    <w:rsid w:val="00F05341"/>
    <w:rsid w:val="00F0687C"/>
    <w:rsid w:val="00F113EA"/>
    <w:rsid w:val="00F14A66"/>
    <w:rsid w:val="00F167B1"/>
    <w:rsid w:val="00F23A58"/>
    <w:rsid w:val="00F24926"/>
    <w:rsid w:val="00F24D21"/>
    <w:rsid w:val="00F344DC"/>
    <w:rsid w:val="00F34A43"/>
    <w:rsid w:val="00F6067E"/>
    <w:rsid w:val="00F704F9"/>
    <w:rsid w:val="00F720DA"/>
    <w:rsid w:val="00F7386F"/>
    <w:rsid w:val="00F769FE"/>
    <w:rsid w:val="00F8217C"/>
    <w:rsid w:val="00F84DD1"/>
    <w:rsid w:val="00F87152"/>
    <w:rsid w:val="00F92B55"/>
    <w:rsid w:val="00FB65FC"/>
    <w:rsid w:val="00FC5F2A"/>
    <w:rsid w:val="00FC7C53"/>
    <w:rsid w:val="00FD0AD7"/>
    <w:rsid w:val="00FD5732"/>
    <w:rsid w:val="00FD7495"/>
    <w:rsid w:val="00FE49EE"/>
    <w:rsid w:val="00FE5A19"/>
    <w:rsid w:val="00FF0898"/>
    <w:rsid w:val="00FF3175"/>
    <w:rsid w:val="00FF5709"/>
    <w:rsid w:val="00FF5940"/>
    <w:rsid w:val="00FF5BAB"/>
    <w:rsid w:val="00FF6C48"/>
    <w:rsid w:val="00FF7F23"/>
    <w:rsid w:val="01FB17C8"/>
    <w:rsid w:val="06734701"/>
    <w:rsid w:val="0707755E"/>
    <w:rsid w:val="09A65473"/>
    <w:rsid w:val="0ABFBB6E"/>
    <w:rsid w:val="0B391054"/>
    <w:rsid w:val="0B76D9F9"/>
    <w:rsid w:val="0BBDFC99"/>
    <w:rsid w:val="0D7C7902"/>
    <w:rsid w:val="0DA9DD67"/>
    <w:rsid w:val="0EEB296B"/>
    <w:rsid w:val="0F7A12D1"/>
    <w:rsid w:val="0FD2CA10"/>
    <w:rsid w:val="0FDBD9AF"/>
    <w:rsid w:val="116B4DD9"/>
    <w:rsid w:val="12853AA5"/>
    <w:rsid w:val="13F38B17"/>
    <w:rsid w:val="15FF73B2"/>
    <w:rsid w:val="176E5653"/>
    <w:rsid w:val="17FF3FEA"/>
    <w:rsid w:val="18BFBA86"/>
    <w:rsid w:val="19946B38"/>
    <w:rsid w:val="1ABFE2BC"/>
    <w:rsid w:val="1BE7E68E"/>
    <w:rsid w:val="1BEBAD48"/>
    <w:rsid w:val="1D6FF0DE"/>
    <w:rsid w:val="1DFEC343"/>
    <w:rsid w:val="1EBEB61A"/>
    <w:rsid w:val="1EE7D290"/>
    <w:rsid w:val="1EF2CAEA"/>
    <w:rsid w:val="1EF356C3"/>
    <w:rsid w:val="1EF64600"/>
    <w:rsid w:val="1EFF0C31"/>
    <w:rsid w:val="1F3A05CF"/>
    <w:rsid w:val="1F7F6839"/>
    <w:rsid w:val="1F8FC89A"/>
    <w:rsid w:val="1FBD8476"/>
    <w:rsid w:val="1FDF0316"/>
    <w:rsid w:val="1FEE5ADE"/>
    <w:rsid w:val="1FEF5F54"/>
    <w:rsid w:val="1FF74FEB"/>
    <w:rsid w:val="1FFF98F8"/>
    <w:rsid w:val="1FFFBACB"/>
    <w:rsid w:val="22C454D3"/>
    <w:rsid w:val="23EBFAB2"/>
    <w:rsid w:val="24DC74A4"/>
    <w:rsid w:val="256E5B41"/>
    <w:rsid w:val="25EA3E48"/>
    <w:rsid w:val="27FABD7C"/>
    <w:rsid w:val="27FEF805"/>
    <w:rsid w:val="27FF5DC2"/>
    <w:rsid w:val="2975613D"/>
    <w:rsid w:val="2A03602E"/>
    <w:rsid w:val="2BFD555B"/>
    <w:rsid w:val="2C89482A"/>
    <w:rsid w:val="2D1F5407"/>
    <w:rsid w:val="2D3649C6"/>
    <w:rsid w:val="2DB3C543"/>
    <w:rsid w:val="2DFBFC9B"/>
    <w:rsid w:val="2DFDB7D3"/>
    <w:rsid w:val="2DFF5C3C"/>
    <w:rsid w:val="2EEF7D50"/>
    <w:rsid w:val="2EFD218B"/>
    <w:rsid w:val="2F2A9BB5"/>
    <w:rsid w:val="2FBE627A"/>
    <w:rsid w:val="2FF81806"/>
    <w:rsid w:val="2FFBF9FA"/>
    <w:rsid w:val="2FFE9688"/>
    <w:rsid w:val="2FFF0B56"/>
    <w:rsid w:val="2FFF40C3"/>
    <w:rsid w:val="3137E8AE"/>
    <w:rsid w:val="31556273"/>
    <w:rsid w:val="31AB60EF"/>
    <w:rsid w:val="330B8DEF"/>
    <w:rsid w:val="34BDD625"/>
    <w:rsid w:val="34F4195F"/>
    <w:rsid w:val="355C3C76"/>
    <w:rsid w:val="355ECF88"/>
    <w:rsid w:val="35BD891C"/>
    <w:rsid w:val="35FCAB20"/>
    <w:rsid w:val="35FD26E2"/>
    <w:rsid w:val="363C876C"/>
    <w:rsid w:val="36C72A66"/>
    <w:rsid w:val="371DFCF2"/>
    <w:rsid w:val="373E8898"/>
    <w:rsid w:val="3747FE28"/>
    <w:rsid w:val="379F2CD9"/>
    <w:rsid w:val="37D71474"/>
    <w:rsid w:val="37FC64E4"/>
    <w:rsid w:val="387B49D4"/>
    <w:rsid w:val="3A3F075B"/>
    <w:rsid w:val="3A879478"/>
    <w:rsid w:val="3AF74CAB"/>
    <w:rsid w:val="3B915414"/>
    <w:rsid w:val="3B9F3056"/>
    <w:rsid w:val="3BCE07BD"/>
    <w:rsid w:val="3BD93416"/>
    <w:rsid w:val="3BDE42E5"/>
    <w:rsid w:val="3BDF6EC7"/>
    <w:rsid w:val="3BF6DCE3"/>
    <w:rsid w:val="3BF753F0"/>
    <w:rsid w:val="3BFB790E"/>
    <w:rsid w:val="3BFF1391"/>
    <w:rsid w:val="3C57ED3B"/>
    <w:rsid w:val="3C5FE4B2"/>
    <w:rsid w:val="3CF717D8"/>
    <w:rsid w:val="3D7D7ABE"/>
    <w:rsid w:val="3DEF8547"/>
    <w:rsid w:val="3DF51E55"/>
    <w:rsid w:val="3DF6A0B7"/>
    <w:rsid w:val="3DFBA328"/>
    <w:rsid w:val="3DFC0153"/>
    <w:rsid w:val="3DFFA85E"/>
    <w:rsid w:val="3EBB777E"/>
    <w:rsid w:val="3EF7810F"/>
    <w:rsid w:val="3EF98A2C"/>
    <w:rsid w:val="3EFD14C0"/>
    <w:rsid w:val="3EFD5386"/>
    <w:rsid w:val="3EFF588D"/>
    <w:rsid w:val="3F2FEC00"/>
    <w:rsid w:val="3F3FA144"/>
    <w:rsid w:val="3F45F0A7"/>
    <w:rsid w:val="3F4EBBFE"/>
    <w:rsid w:val="3F5F09E4"/>
    <w:rsid w:val="3F5F378B"/>
    <w:rsid w:val="3F605866"/>
    <w:rsid w:val="3F633C4F"/>
    <w:rsid w:val="3F6FDAA1"/>
    <w:rsid w:val="3F7DF66B"/>
    <w:rsid w:val="3F7FCA6D"/>
    <w:rsid w:val="3F9F6209"/>
    <w:rsid w:val="3FBBCE20"/>
    <w:rsid w:val="3FBED29E"/>
    <w:rsid w:val="3FBF175B"/>
    <w:rsid w:val="3FCAC167"/>
    <w:rsid w:val="3FDB87E7"/>
    <w:rsid w:val="3FDB9C83"/>
    <w:rsid w:val="3FDDE572"/>
    <w:rsid w:val="3FE70F31"/>
    <w:rsid w:val="3FEC54CB"/>
    <w:rsid w:val="3FEDD92F"/>
    <w:rsid w:val="3FF2596F"/>
    <w:rsid w:val="3FF31F44"/>
    <w:rsid w:val="3FF8FF23"/>
    <w:rsid w:val="3FFD35C1"/>
    <w:rsid w:val="3FFE3269"/>
    <w:rsid w:val="3FFE6677"/>
    <w:rsid w:val="3FFF5680"/>
    <w:rsid w:val="41666EFB"/>
    <w:rsid w:val="437FBBFF"/>
    <w:rsid w:val="43AE7BC2"/>
    <w:rsid w:val="43B393FC"/>
    <w:rsid w:val="44A41CDC"/>
    <w:rsid w:val="47BF7CB4"/>
    <w:rsid w:val="47BFF6A0"/>
    <w:rsid w:val="47D49AB1"/>
    <w:rsid w:val="47FF3311"/>
    <w:rsid w:val="499D1FCC"/>
    <w:rsid w:val="4A701893"/>
    <w:rsid w:val="4AF741F8"/>
    <w:rsid w:val="4AFDC8DD"/>
    <w:rsid w:val="4BDD470A"/>
    <w:rsid w:val="4BEFB677"/>
    <w:rsid w:val="4C6FC961"/>
    <w:rsid w:val="4D3B6D0D"/>
    <w:rsid w:val="4EDB7293"/>
    <w:rsid w:val="4EDF5660"/>
    <w:rsid w:val="4EFF703A"/>
    <w:rsid w:val="4F7A41DF"/>
    <w:rsid w:val="4F7F9374"/>
    <w:rsid w:val="4FD52372"/>
    <w:rsid w:val="4FDFBB3A"/>
    <w:rsid w:val="4FFEE384"/>
    <w:rsid w:val="4FFF67B7"/>
    <w:rsid w:val="4FFFCEE1"/>
    <w:rsid w:val="4FFFCFF4"/>
    <w:rsid w:val="50FC54B7"/>
    <w:rsid w:val="5173656B"/>
    <w:rsid w:val="51B49BC8"/>
    <w:rsid w:val="51C40773"/>
    <w:rsid w:val="53AE42B9"/>
    <w:rsid w:val="53F3891A"/>
    <w:rsid w:val="53FD1FA7"/>
    <w:rsid w:val="53FDC37D"/>
    <w:rsid w:val="54F4C546"/>
    <w:rsid w:val="55DF7D10"/>
    <w:rsid w:val="56B742CC"/>
    <w:rsid w:val="56FE566C"/>
    <w:rsid w:val="56FED5B7"/>
    <w:rsid w:val="5766F812"/>
    <w:rsid w:val="576F2A33"/>
    <w:rsid w:val="576F7058"/>
    <w:rsid w:val="577E9BEC"/>
    <w:rsid w:val="57B77826"/>
    <w:rsid w:val="599F6E95"/>
    <w:rsid w:val="59D33B59"/>
    <w:rsid w:val="5B5FF2C6"/>
    <w:rsid w:val="5BA510EF"/>
    <w:rsid w:val="5BD3EA62"/>
    <w:rsid w:val="5BDDB460"/>
    <w:rsid w:val="5BF761F4"/>
    <w:rsid w:val="5BF7AEF2"/>
    <w:rsid w:val="5BFC1FA2"/>
    <w:rsid w:val="5BFF0258"/>
    <w:rsid w:val="5BFFC855"/>
    <w:rsid w:val="5CA02716"/>
    <w:rsid w:val="5CF731E5"/>
    <w:rsid w:val="5CFDD334"/>
    <w:rsid w:val="5CFF5113"/>
    <w:rsid w:val="5DBF713D"/>
    <w:rsid w:val="5DBFCB38"/>
    <w:rsid w:val="5DD313F1"/>
    <w:rsid w:val="5DD6CD72"/>
    <w:rsid w:val="5DDFDE6E"/>
    <w:rsid w:val="5DE4B544"/>
    <w:rsid w:val="5DE88513"/>
    <w:rsid w:val="5DEB4509"/>
    <w:rsid w:val="5DED5AD3"/>
    <w:rsid w:val="5DF4AF3A"/>
    <w:rsid w:val="5DF7B6A6"/>
    <w:rsid w:val="5DFB3885"/>
    <w:rsid w:val="5DFBF2A5"/>
    <w:rsid w:val="5DFD1698"/>
    <w:rsid w:val="5DFEA5B9"/>
    <w:rsid w:val="5EBB4F6C"/>
    <w:rsid w:val="5EBB97AD"/>
    <w:rsid w:val="5EEF39F3"/>
    <w:rsid w:val="5EF7E577"/>
    <w:rsid w:val="5EFA2D30"/>
    <w:rsid w:val="5EFB33DB"/>
    <w:rsid w:val="5F5F4519"/>
    <w:rsid w:val="5F5FB869"/>
    <w:rsid w:val="5F7EFC2A"/>
    <w:rsid w:val="5FA71A80"/>
    <w:rsid w:val="5FADE531"/>
    <w:rsid w:val="5FBEB03F"/>
    <w:rsid w:val="5FBF318C"/>
    <w:rsid w:val="5FCF01A4"/>
    <w:rsid w:val="5FCF0455"/>
    <w:rsid w:val="5FDB99D6"/>
    <w:rsid w:val="5FDECDCA"/>
    <w:rsid w:val="5FDF0503"/>
    <w:rsid w:val="5FEE03C3"/>
    <w:rsid w:val="5FF6A4A0"/>
    <w:rsid w:val="5FF6F3A9"/>
    <w:rsid w:val="5FF736B1"/>
    <w:rsid w:val="5FFB5F38"/>
    <w:rsid w:val="5FFB7CC1"/>
    <w:rsid w:val="5FFD1ED0"/>
    <w:rsid w:val="5FFE5B94"/>
    <w:rsid w:val="5FFF36BD"/>
    <w:rsid w:val="5FFF732B"/>
    <w:rsid w:val="5FFF9CA6"/>
    <w:rsid w:val="608A5882"/>
    <w:rsid w:val="637FE8AA"/>
    <w:rsid w:val="63ABCF3A"/>
    <w:rsid w:val="63FF410E"/>
    <w:rsid w:val="640E64F5"/>
    <w:rsid w:val="649F0A03"/>
    <w:rsid w:val="64E85D0B"/>
    <w:rsid w:val="64FDC229"/>
    <w:rsid w:val="6507267D"/>
    <w:rsid w:val="653D9CAD"/>
    <w:rsid w:val="65779E54"/>
    <w:rsid w:val="65B72110"/>
    <w:rsid w:val="65CC1BBD"/>
    <w:rsid w:val="65E70A9F"/>
    <w:rsid w:val="65EF2DC7"/>
    <w:rsid w:val="669F062B"/>
    <w:rsid w:val="67767171"/>
    <w:rsid w:val="67795CC6"/>
    <w:rsid w:val="67977371"/>
    <w:rsid w:val="67C55640"/>
    <w:rsid w:val="67D535BC"/>
    <w:rsid w:val="67EED366"/>
    <w:rsid w:val="67EFB8D8"/>
    <w:rsid w:val="67EFC630"/>
    <w:rsid w:val="67F103C2"/>
    <w:rsid w:val="67F7E3F7"/>
    <w:rsid w:val="67FBB934"/>
    <w:rsid w:val="67FF1A7F"/>
    <w:rsid w:val="67FF2320"/>
    <w:rsid w:val="67FF6C62"/>
    <w:rsid w:val="67FF81BC"/>
    <w:rsid w:val="69EF3B8F"/>
    <w:rsid w:val="6ADF7911"/>
    <w:rsid w:val="6ADF8E71"/>
    <w:rsid w:val="6AEE60E0"/>
    <w:rsid w:val="6AFB2A29"/>
    <w:rsid w:val="6AFFA456"/>
    <w:rsid w:val="6B3B158D"/>
    <w:rsid w:val="6B4F32B1"/>
    <w:rsid w:val="6B95794A"/>
    <w:rsid w:val="6BBFEA1E"/>
    <w:rsid w:val="6BDB2843"/>
    <w:rsid w:val="6BDDA05A"/>
    <w:rsid w:val="6BED92C8"/>
    <w:rsid w:val="6BF36223"/>
    <w:rsid w:val="6C8187EB"/>
    <w:rsid w:val="6CBFB313"/>
    <w:rsid w:val="6CDF6900"/>
    <w:rsid w:val="6D6ED4AC"/>
    <w:rsid w:val="6DBDF4A0"/>
    <w:rsid w:val="6DBF4D56"/>
    <w:rsid w:val="6DC7895C"/>
    <w:rsid w:val="6DD605D8"/>
    <w:rsid w:val="6DFF2289"/>
    <w:rsid w:val="6E2BD64B"/>
    <w:rsid w:val="6E5D8DE3"/>
    <w:rsid w:val="6E772320"/>
    <w:rsid w:val="6E7F4C67"/>
    <w:rsid w:val="6E9FED1C"/>
    <w:rsid w:val="6EBFB019"/>
    <w:rsid w:val="6ED2B6CE"/>
    <w:rsid w:val="6EFE6103"/>
    <w:rsid w:val="6EFF9E2C"/>
    <w:rsid w:val="6F4B619A"/>
    <w:rsid w:val="6F7B08DD"/>
    <w:rsid w:val="6F7BC5DD"/>
    <w:rsid w:val="6F8EAD8B"/>
    <w:rsid w:val="6FAB4447"/>
    <w:rsid w:val="6FACCC14"/>
    <w:rsid w:val="6FB76E06"/>
    <w:rsid w:val="6FDEC97A"/>
    <w:rsid w:val="6FE59BB5"/>
    <w:rsid w:val="6FEBCDC6"/>
    <w:rsid w:val="6FED87FA"/>
    <w:rsid w:val="6FEF8DFA"/>
    <w:rsid w:val="6FF1EAC4"/>
    <w:rsid w:val="6FF9A5E5"/>
    <w:rsid w:val="6FFB7F4F"/>
    <w:rsid w:val="6FFE3452"/>
    <w:rsid w:val="6FFE5326"/>
    <w:rsid w:val="6FFF50E9"/>
    <w:rsid w:val="6FFFD607"/>
    <w:rsid w:val="702E24E8"/>
    <w:rsid w:val="704757BE"/>
    <w:rsid w:val="715DA043"/>
    <w:rsid w:val="721F389B"/>
    <w:rsid w:val="726D9B96"/>
    <w:rsid w:val="7297DD33"/>
    <w:rsid w:val="72C6D8D5"/>
    <w:rsid w:val="731F2CA1"/>
    <w:rsid w:val="735E6B0C"/>
    <w:rsid w:val="73A7126C"/>
    <w:rsid w:val="73B79323"/>
    <w:rsid w:val="73C70629"/>
    <w:rsid w:val="73E33749"/>
    <w:rsid w:val="73E7FA8A"/>
    <w:rsid w:val="73FC327E"/>
    <w:rsid w:val="73FFD853"/>
    <w:rsid w:val="742D8659"/>
    <w:rsid w:val="746F3F06"/>
    <w:rsid w:val="750BBDE0"/>
    <w:rsid w:val="756F048C"/>
    <w:rsid w:val="75B4501A"/>
    <w:rsid w:val="75B89F5B"/>
    <w:rsid w:val="75BF9B28"/>
    <w:rsid w:val="75C687F3"/>
    <w:rsid w:val="75FB022A"/>
    <w:rsid w:val="76171637"/>
    <w:rsid w:val="76746484"/>
    <w:rsid w:val="767995E7"/>
    <w:rsid w:val="767B329C"/>
    <w:rsid w:val="76B588C4"/>
    <w:rsid w:val="76BF3357"/>
    <w:rsid w:val="76CD2CCE"/>
    <w:rsid w:val="76D9B787"/>
    <w:rsid w:val="76EDAA68"/>
    <w:rsid w:val="76EFD3D6"/>
    <w:rsid w:val="76F43EAC"/>
    <w:rsid w:val="76F945EF"/>
    <w:rsid w:val="76F9568D"/>
    <w:rsid w:val="76F9CF63"/>
    <w:rsid w:val="77198C3F"/>
    <w:rsid w:val="773F2CA5"/>
    <w:rsid w:val="7753DA94"/>
    <w:rsid w:val="775F9A24"/>
    <w:rsid w:val="776BB1A5"/>
    <w:rsid w:val="776D812B"/>
    <w:rsid w:val="7777DBF1"/>
    <w:rsid w:val="777B151D"/>
    <w:rsid w:val="777FF2DD"/>
    <w:rsid w:val="77A7F604"/>
    <w:rsid w:val="77AF1BDA"/>
    <w:rsid w:val="77CE1E7E"/>
    <w:rsid w:val="77D71726"/>
    <w:rsid w:val="77D76837"/>
    <w:rsid w:val="77D835B2"/>
    <w:rsid w:val="77DF326B"/>
    <w:rsid w:val="77DF3CF0"/>
    <w:rsid w:val="77E64CA3"/>
    <w:rsid w:val="77EB4F7F"/>
    <w:rsid w:val="77EC34B5"/>
    <w:rsid w:val="77F228C5"/>
    <w:rsid w:val="77F43003"/>
    <w:rsid w:val="77F94569"/>
    <w:rsid w:val="77F983EA"/>
    <w:rsid w:val="77FBA27B"/>
    <w:rsid w:val="77FC1B0C"/>
    <w:rsid w:val="77FD110F"/>
    <w:rsid w:val="77FFBAC2"/>
    <w:rsid w:val="77FFE76F"/>
    <w:rsid w:val="7809834A"/>
    <w:rsid w:val="78694397"/>
    <w:rsid w:val="78FCE971"/>
    <w:rsid w:val="78FF717A"/>
    <w:rsid w:val="793F0BEC"/>
    <w:rsid w:val="793FA608"/>
    <w:rsid w:val="794DB089"/>
    <w:rsid w:val="79AD0B16"/>
    <w:rsid w:val="79D98237"/>
    <w:rsid w:val="79DF7A4F"/>
    <w:rsid w:val="79E78878"/>
    <w:rsid w:val="79EBB3E6"/>
    <w:rsid w:val="79FFD95F"/>
    <w:rsid w:val="7A7500D6"/>
    <w:rsid w:val="7A7DBE6C"/>
    <w:rsid w:val="7A8EAC37"/>
    <w:rsid w:val="7ADFC793"/>
    <w:rsid w:val="7AEEFA32"/>
    <w:rsid w:val="7AF7EF25"/>
    <w:rsid w:val="7AFD446B"/>
    <w:rsid w:val="7B1E3D25"/>
    <w:rsid w:val="7B6E75DF"/>
    <w:rsid w:val="7B7BB063"/>
    <w:rsid w:val="7B7DA57E"/>
    <w:rsid w:val="7B7F050B"/>
    <w:rsid w:val="7B7F3121"/>
    <w:rsid w:val="7BAFFC5D"/>
    <w:rsid w:val="7BBF253A"/>
    <w:rsid w:val="7BDF19CD"/>
    <w:rsid w:val="7BDF1D07"/>
    <w:rsid w:val="7BFDA2BB"/>
    <w:rsid w:val="7BFE6D36"/>
    <w:rsid w:val="7BFF08BE"/>
    <w:rsid w:val="7BFF6C08"/>
    <w:rsid w:val="7BFF6E16"/>
    <w:rsid w:val="7C33D413"/>
    <w:rsid w:val="7C57605F"/>
    <w:rsid w:val="7C5F17A5"/>
    <w:rsid w:val="7C665377"/>
    <w:rsid w:val="7CA63287"/>
    <w:rsid w:val="7CCDFDCF"/>
    <w:rsid w:val="7CEB4375"/>
    <w:rsid w:val="7CF0684A"/>
    <w:rsid w:val="7CF60EE8"/>
    <w:rsid w:val="7CFB6E26"/>
    <w:rsid w:val="7CFF46A4"/>
    <w:rsid w:val="7D2D38CE"/>
    <w:rsid w:val="7D4E4658"/>
    <w:rsid w:val="7D5BD357"/>
    <w:rsid w:val="7D6BFBC2"/>
    <w:rsid w:val="7D6EBE7D"/>
    <w:rsid w:val="7D6FB7B7"/>
    <w:rsid w:val="7D738A58"/>
    <w:rsid w:val="7D77B31E"/>
    <w:rsid w:val="7D7DB270"/>
    <w:rsid w:val="7D7F5B8B"/>
    <w:rsid w:val="7D7F6FB2"/>
    <w:rsid w:val="7D81D46B"/>
    <w:rsid w:val="7D9F0B94"/>
    <w:rsid w:val="7DBD10B0"/>
    <w:rsid w:val="7DBE7A13"/>
    <w:rsid w:val="7DCB821C"/>
    <w:rsid w:val="7DCF45F3"/>
    <w:rsid w:val="7DD70F33"/>
    <w:rsid w:val="7DEBEB3D"/>
    <w:rsid w:val="7DED5EEA"/>
    <w:rsid w:val="7DEF44F8"/>
    <w:rsid w:val="7DEF56B7"/>
    <w:rsid w:val="7DEFE27E"/>
    <w:rsid w:val="7DF750B1"/>
    <w:rsid w:val="7DFB0E72"/>
    <w:rsid w:val="7DFEA8CE"/>
    <w:rsid w:val="7DFED48E"/>
    <w:rsid w:val="7DFF0292"/>
    <w:rsid w:val="7DFF55BF"/>
    <w:rsid w:val="7DFF9BD3"/>
    <w:rsid w:val="7DFFCD78"/>
    <w:rsid w:val="7E3FE622"/>
    <w:rsid w:val="7E4E0BC4"/>
    <w:rsid w:val="7E674485"/>
    <w:rsid w:val="7E6AAE64"/>
    <w:rsid w:val="7E6D9E2C"/>
    <w:rsid w:val="7E6FB827"/>
    <w:rsid w:val="7E750FC5"/>
    <w:rsid w:val="7E7B37F2"/>
    <w:rsid w:val="7EB7B6FF"/>
    <w:rsid w:val="7EB90FB5"/>
    <w:rsid w:val="7ED86B51"/>
    <w:rsid w:val="7EDE89C3"/>
    <w:rsid w:val="7EDF8E27"/>
    <w:rsid w:val="7EEF7B0E"/>
    <w:rsid w:val="7EEFE7AB"/>
    <w:rsid w:val="7EF35148"/>
    <w:rsid w:val="7EF5BCAD"/>
    <w:rsid w:val="7EF7AF42"/>
    <w:rsid w:val="7EF8CF9A"/>
    <w:rsid w:val="7EFBC26E"/>
    <w:rsid w:val="7EFD1601"/>
    <w:rsid w:val="7EFE77B0"/>
    <w:rsid w:val="7F333E7E"/>
    <w:rsid w:val="7F366011"/>
    <w:rsid w:val="7F3B0ED0"/>
    <w:rsid w:val="7F3B9A78"/>
    <w:rsid w:val="7F53AB48"/>
    <w:rsid w:val="7F551101"/>
    <w:rsid w:val="7F5A35BD"/>
    <w:rsid w:val="7F6E40F3"/>
    <w:rsid w:val="7F6F91D6"/>
    <w:rsid w:val="7F7A48DA"/>
    <w:rsid w:val="7F7B3242"/>
    <w:rsid w:val="7F7C12AE"/>
    <w:rsid w:val="7F7F10D1"/>
    <w:rsid w:val="7F8FC2A2"/>
    <w:rsid w:val="7F95538B"/>
    <w:rsid w:val="7F97CCB5"/>
    <w:rsid w:val="7FAD13E7"/>
    <w:rsid w:val="7FB5CCAD"/>
    <w:rsid w:val="7FBB21F1"/>
    <w:rsid w:val="7FBBDB0F"/>
    <w:rsid w:val="7FBF5887"/>
    <w:rsid w:val="7FBFDDD5"/>
    <w:rsid w:val="7FCF6743"/>
    <w:rsid w:val="7FD1EBED"/>
    <w:rsid w:val="7FD5F252"/>
    <w:rsid w:val="7FD79950"/>
    <w:rsid w:val="7FD7F786"/>
    <w:rsid w:val="7FDB3C39"/>
    <w:rsid w:val="7FDB5A6E"/>
    <w:rsid w:val="7FDBECEF"/>
    <w:rsid w:val="7FDCEF29"/>
    <w:rsid w:val="7FDF08C6"/>
    <w:rsid w:val="7FDF6AF6"/>
    <w:rsid w:val="7FDFB826"/>
    <w:rsid w:val="7FDFBF07"/>
    <w:rsid w:val="7FDFEC7A"/>
    <w:rsid w:val="7FE31B87"/>
    <w:rsid w:val="7FE3C46C"/>
    <w:rsid w:val="7FE6A9B1"/>
    <w:rsid w:val="7FE7736D"/>
    <w:rsid w:val="7FEA4D9D"/>
    <w:rsid w:val="7FED0FAD"/>
    <w:rsid w:val="7FEE7F0C"/>
    <w:rsid w:val="7FEFA8AF"/>
    <w:rsid w:val="7FF23C9B"/>
    <w:rsid w:val="7FF5196E"/>
    <w:rsid w:val="7FF6DDDA"/>
    <w:rsid w:val="7FF75890"/>
    <w:rsid w:val="7FF79B69"/>
    <w:rsid w:val="7FF7A3D9"/>
    <w:rsid w:val="7FF7B156"/>
    <w:rsid w:val="7FF9AE1B"/>
    <w:rsid w:val="7FFAD4A4"/>
    <w:rsid w:val="7FFB216C"/>
    <w:rsid w:val="7FFB862E"/>
    <w:rsid w:val="7FFB8B0C"/>
    <w:rsid w:val="7FFBC4D1"/>
    <w:rsid w:val="7FFC053E"/>
    <w:rsid w:val="7FFD60E6"/>
    <w:rsid w:val="7FFDE09F"/>
    <w:rsid w:val="7FFE3EC4"/>
    <w:rsid w:val="7FFEFEAF"/>
    <w:rsid w:val="7FFF1B95"/>
    <w:rsid w:val="7FFF22BB"/>
    <w:rsid w:val="7FFF4111"/>
    <w:rsid w:val="7FFF41A3"/>
    <w:rsid w:val="7FFF6D78"/>
    <w:rsid w:val="7FFF97D2"/>
    <w:rsid w:val="7FFFB36B"/>
    <w:rsid w:val="7FFFF9AE"/>
    <w:rsid w:val="827D9A1D"/>
    <w:rsid w:val="8B6F5951"/>
    <w:rsid w:val="8D9F7057"/>
    <w:rsid w:val="8FDECB08"/>
    <w:rsid w:val="8FEF2B92"/>
    <w:rsid w:val="8FF5F962"/>
    <w:rsid w:val="95AF9982"/>
    <w:rsid w:val="95B7B797"/>
    <w:rsid w:val="95BD6E84"/>
    <w:rsid w:val="95F621FC"/>
    <w:rsid w:val="963EFC79"/>
    <w:rsid w:val="976BD9F3"/>
    <w:rsid w:val="977F92C7"/>
    <w:rsid w:val="979EB348"/>
    <w:rsid w:val="97B7EEEC"/>
    <w:rsid w:val="97FF8A68"/>
    <w:rsid w:val="987F2952"/>
    <w:rsid w:val="99FEB959"/>
    <w:rsid w:val="9A3E1E1C"/>
    <w:rsid w:val="9A6F2D3B"/>
    <w:rsid w:val="9A9F8CC4"/>
    <w:rsid w:val="9AED7251"/>
    <w:rsid w:val="9BB525E1"/>
    <w:rsid w:val="9BEA0889"/>
    <w:rsid w:val="9BF496E3"/>
    <w:rsid w:val="9C3F0F81"/>
    <w:rsid w:val="9CFE2319"/>
    <w:rsid w:val="9DB53561"/>
    <w:rsid w:val="9DFD61EB"/>
    <w:rsid w:val="9DFD8A57"/>
    <w:rsid w:val="9E5D6334"/>
    <w:rsid w:val="9EFD4288"/>
    <w:rsid w:val="9F078105"/>
    <w:rsid w:val="9F735B30"/>
    <w:rsid w:val="9F779C20"/>
    <w:rsid w:val="9FDFEA33"/>
    <w:rsid w:val="9FFC3A90"/>
    <w:rsid w:val="9FFFD0A5"/>
    <w:rsid w:val="A1FF921E"/>
    <w:rsid w:val="A5F5FC24"/>
    <w:rsid w:val="A6B904F9"/>
    <w:rsid w:val="A7DB09A3"/>
    <w:rsid w:val="A9A76FDB"/>
    <w:rsid w:val="AA39847E"/>
    <w:rsid w:val="AAD931A3"/>
    <w:rsid w:val="ABEB32B5"/>
    <w:rsid w:val="ABEC16B3"/>
    <w:rsid w:val="ABEFE7AB"/>
    <w:rsid w:val="ABF35C26"/>
    <w:rsid w:val="ACDFCC44"/>
    <w:rsid w:val="AD7BEEB9"/>
    <w:rsid w:val="ADFE9A34"/>
    <w:rsid w:val="AE669283"/>
    <w:rsid w:val="AE77D3A2"/>
    <w:rsid w:val="AF3450FC"/>
    <w:rsid w:val="AF67E2D7"/>
    <w:rsid w:val="AF6D7594"/>
    <w:rsid w:val="AFBF2273"/>
    <w:rsid w:val="AFDB29B7"/>
    <w:rsid w:val="AFF5988C"/>
    <w:rsid w:val="AFFA8520"/>
    <w:rsid w:val="AFFFAFB9"/>
    <w:rsid w:val="B17A0ACB"/>
    <w:rsid w:val="B3BD9396"/>
    <w:rsid w:val="B57F82BB"/>
    <w:rsid w:val="B6EF45D3"/>
    <w:rsid w:val="B74F40E5"/>
    <w:rsid w:val="B77FE5A1"/>
    <w:rsid w:val="B798A00B"/>
    <w:rsid w:val="B7BEBEC7"/>
    <w:rsid w:val="B7F9BC2E"/>
    <w:rsid w:val="B8A54A3B"/>
    <w:rsid w:val="B9A696FD"/>
    <w:rsid w:val="B9FCB69D"/>
    <w:rsid w:val="BA8747E9"/>
    <w:rsid w:val="BAB657CD"/>
    <w:rsid w:val="BAF69E2D"/>
    <w:rsid w:val="BAFB6EDA"/>
    <w:rsid w:val="BB2FCBEB"/>
    <w:rsid w:val="BB796137"/>
    <w:rsid w:val="BBCF8A53"/>
    <w:rsid w:val="BBE7D501"/>
    <w:rsid w:val="BBED4672"/>
    <w:rsid w:val="BBED68DE"/>
    <w:rsid w:val="BBF34A54"/>
    <w:rsid w:val="BBFDDD3D"/>
    <w:rsid w:val="BBFFFDAF"/>
    <w:rsid w:val="BD4F9348"/>
    <w:rsid w:val="BD5F3D92"/>
    <w:rsid w:val="BD75757E"/>
    <w:rsid w:val="BD7B8AF7"/>
    <w:rsid w:val="BDB7FCB7"/>
    <w:rsid w:val="BDCF02AC"/>
    <w:rsid w:val="BDDD652D"/>
    <w:rsid w:val="BDE7A514"/>
    <w:rsid w:val="BDFB9CF9"/>
    <w:rsid w:val="BDFF8119"/>
    <w:rsid w:val="BE7EF113"/>
    <w:rsid w:val="BEBAC423"/>
    <w:rsid w:val="BF3B03C9"/>
    <w:rsid w:val="BF3E9D3D"/>
    <w:rsid w:val="BF8C9635"/>
    <w:rsid w:val="BFAB2BB5"/>
    <w:rsid w:val="BFABBACA"/>
    <w:rsid w:val="BFAC46F5"/>
    <w:rsid w:val="BFB3A325"/>
    <w:rsid w:val="BFBB71BA"/>
    <w:rsid w:val="BFBFAB61"/>
    <w:rsid w:val="BFBFDD36"/>
    <w:rsid w:val="BFBFEC19"/>
    <w:rsid w:val="BFD50246"/>
    <w:rsid w:val="BFE53C8E"/>
    <w:rsid w:val="BFEFAFFF"/>
    <w:rsid w:val="BFF646AD"/>
    <w:rsid w:val="BFF733FA"/>
    <w:rsid w:val="BFF971F2"/>
    <w:rsid w:val="BFFB1548"/>
    <w:rsid w:val="BFFB45DD"/>
    <w:rsid w:val="BFFCE8FF"/>
    <w:rsid w:val="BFFDAD3B"/>
    <w:rsid w:val="BFFE4CB4"/>
    <w:rsid w:val="BFFF46CC"/>
    <w:rsid w:val="BFFF58A2"/>
    <w:rsid w:val="BFFF5DAB"/>
    <w:rsid w:val="BFFF81D4"/>
    <w:rsid w:val="BFFFA613"/>
    <w:rsid w:val="BFFFD383"/>
    <w:rsid w:val="C1EE8A61"/>
    <w:rsid w:val="C3D5B8F8"/>
    <w:rsid w:val="C57B0770"/>
    <w:rsid w:val="C5B9854D"/>
    <w:rsid w:val="C5EFB66A"/>
    <w:rsid w:val="C61E49A8"/>
    <w:rsid w:val="C79DAA0D"/>
    <w:rsid w:val="C9F5D223"/>
    <w:rsid w:val="CBAD7B9F"/>
    <w:rsid w:val="CBFFBD66"/>
    <w:rsid w:val="CC7BD4BF"/>
    <w:rsid w:val="CD58FA6C"/>
    <w:rsid w:val="CD8E20BF"/>
    <w:rsid w:val="CDFFFCCC"/>
    <w:rsid w:val="CEDC2043"/>
    <w:rsid w:val="CEFF68C9"/>
    <w:rsid w:val="CF3F56EB"/>
    <w:rsid w:val="CF5D029E"/>
    <w:rsid w:val="CF7A7A8E"/>
    <w:rsid w:val="CF96945A"/>
    <w:rsid w:val="CFADACB1"/>
    <w:rsid w:val="CFB76E13"/>
    <w:rsid w:val="CFF4D2D4"/>
    <w:rsid w:val="CFFAF51B"/>
    <w:rsid w:val="CFFD377F"/>
    <w:rsid w:val="D2F90418"/>
    <w:rsid w:val="D36F7BBA"/>
    <w:rsid w:val="D3D72E3E"/>
    <w:rsid w:val="D3DE830A"/>
    <w:rsid w:val="D3FF38E3"/>
    <w:rsid w:val="D3FF927E"/>
    <w:rsid w:val="D3FFC533"/>
    <w:rsid w:val="D47F1562"/>
    <w:rsid w:val="D4F73924"/>
    <w:rsid w:val="D4FA1BBE"/>
    <w:rsid w:val="D5F75019"/>
    <w:rsid w:val="D66B8977"/>
    <w:rsid w:val="D6E86713"/>
    <w:rsid w:val="D6FEBCBC"/>
    <w:rsid w:val="D72C7C20"/>
    <w:rsid w:val="D7AF39B0"/>
    <w:rsid w:val="D7D41312"/>
    <w:rsid w:val="D7F37019"/>
    <w:rsid w:val="D7FBE2BF"/>
    <w:rsid w:val="D7FCF82F"/>
    <w:rsid w:val="D7FDE8BA"/>
    <w:rsid w:val="D7FFB3F3"/>
    <w:rsid w:val="D7FFD463"/>
    <w:rsid w:val="D8DF158B"/>
    <w:rsid w:val="D94FA042"/>
    <w:rsid w:val="D97D5C67"/>
    <w:rsid w:val="D9D752AD"/>
    <w:rsid w:val="DAB96FCB"/>
    <w:rsid w:val="DAD7AACA"/>
    <w:rsid w:val="DAFE436A"/>
    <w:rsid w:val="DB3E209D"/>
    <w:rsid w:val="DB5F00DD"/>
    <w:rsid w:val="DBA95511"/>
    <w:rsid w:val="DBBB34C4"/>
    <w:rsid w:val="DBCBC492"/>
    <w:rsid w:val="DBD7E48B"/>
    <w:rsid w:val="DBDB3385"/>
    <w:rsid w:val="DBFE5459"/>
    <w:rsid w:val="DBFE8970"/>
    <w:rsid w:val="DC7687EA"/>
    <w:rsid w:val="DCFBD596"/>
    <w:rsid w:val="DCFFE923"/>
    <w:rsid w:val="DD3FA061"/>
    <w:rsid w:val="DD6D9F30"/>
    <w:rsid w:val="DDA91698"/>
    <w:rsid w:val="DDCB9DB4"/>
    <w:rsid w:val="DDED03AD"/>
    <w:rsid w:val="DDFBC19D"/>
    <w:rsid w:val="DDFEAE43"/>
    <w:rsid w:val="DDFF8872"/>
    <w:rsid w:val="DE479C4D"/>
    <w:rsid w:val="DE51700A"/>
    <w:rsid w:val="DE7FF224"/>
    <w:rsid w:val="DE97EE71"/>
    <w:rsid w:val="DECE9F8A"/>
    <w:rsid w:val="DF3DD247"/>
    <w:rsid w:val="DF472B1A"/>
    <w:rsid w:val="DF59BB03"/>
    <w:rsid w:val="DF713AD6"/>
    <w:rsid w:val="DF778A03"/>
    <w:rsid w:val="DF7B37A6"/>
    <w:rsid w:val="DF7EE5BC"/>
    <w:rsid w:val="DF8A964E"/>
    <w:rsid w:val="DFA93EAF"/>
    <w:rsid w:val="DFB482E5"/>
    <w:rsid w:val="DFB7371B"/>
    <w:rsid w:val="DFB7B055"/>
    <w:rsid w:val="DFDFF9A8"/>
    <w:rsid w:val="DFEAB630"/>
    <w:rsid w:val="DFEFA6C1"/>
    <w:rsid w:val="DFF581E2"/>
    <w:rsid w:val="DFF7086C"/>
    <w:rsid w:val="DFFBFFE3"/>
    <w:rsid w:val="DFFD3183"/>
    <w:rsid w:val="DFFE57AF"/>
    <w:rsid w:val="DFFF5E0C"/>
    <w:rsid w:val="E13E3242"/>
    <w:rsid w:val="E2AE3234"/>
    <w:rsid w:val="E3DB336B"/>
    <w:rsid w:val="E3DD1C57"/>
    <w:rsid w:val="E3FFA4C4"/>
    <w:rsid w:val="E57FE2E8"/>
    <w:rsid w:val="E5F3B970"/>
    <w:rsid w:val="E67DBCD7"/>
    <w:rsid w:val="E6DF089D"/>
    <w:rsid w:val="E7F7B44A"/>
    <w:rsid w:val="E7FFF3EF"/>
    <w:rsid w:val="E8BFE62F"/>
    <w:rsid w:val="EA4EE73D"/>
    <w:rsid w:val="EA694647"/>
    <w:rsid w:val="EAEF12BB"/>
    <w:rsid w:val="EAF741E0"/>
    <w:rsid w:val="EB71D75B"/>
    <w:rsid w:val="EB7F48EC"/>
    <w:rsid w:val="EBD77716"/>
    <w:rsid w:val="EBDB9194"/>
    <w:rsid w:val="EBE2DDEC"/>
    <w:rsid w:val="EBEBA80C"/>
    <w:rsid w:val="EBEF5168"/>
    <w:rsid w:val="EC8D62C6"/>
    <w:rsid w:val="ED6F4FD4"/>
    <w:rsid w:val="ED778607"/>
    <w:rsid w:val="ED7FA52E"/>
    <w:rsid w:val="ED9D0727"/>
    <w:rsid w:val="EDBFBDAC"/>
    <w:rsid w:val="EDC70873"/>
    <w:rsid w:val="EDF7955A"/>
    <w:rsid w:val="EDF7B4E8"/>
    <w:rsid w:val="EDFB9BFE"/>
    <w:rsid w:val="EDFC7503"/>
    <w:rsid w:val="EE37913A"/>
    <w:rsid w:val="EE5F0BB4"/>
    <w:rsid w:val="EEAB1161"/>
    <w:rsid w:val="EED72D8C"/>
    <w:rsid w:val="EEDD3257"/>
    <w:rsid w:val="EEE401C6"/>
    <w:rsid w:val="EEECC54C"/>
    <w:rsid w:val="EEEFFEEE"/>
    <w:rsid w:val="EEFBF7CD"/>
    <w:rsid w:val="EEFF557E"/>
    <w:rsid w:val="EEFF8920"/>
    <w:rsid w:val="EF0D77B6"/>
    <w:rsid w:val="EF2E68A2"/>
    <w:rsid w:val="EF6F80AA"/>
    <w:rsid w:val="EF76C3D2"/>
    <w:rsid w:val="EF7C25C5"/>
    <w:rsid w:val="EF7E32ED"/>
    <w:rsid w:val="EFA78BA1"/>
    <w:rsid w:val="EFBE950C"/>
    <w:rsid w:val="EFC475BE"/>
    <w:rsid w:val="EFCFE4D4"/>
    <w:rsid w:val="EFDB013D"/>
    <w:rsid w:val="EFE75C1C"/>
    <w:rsid w:val="EFEC2EF6"/>
    <w:rsid w:val="EFF72BBA"/>
    <w:rsid w:val="EFFB6B13"/>
    <w:rsid w:val="EFFF572A"/>
    <w:rsid w:val="F16F5352"/>
    <w:rsid w:val="F177D4D9"/>
    <w:rsid w:val="F1C49A7C"/>
    <w:rsid w:val="F1C77E1D"/>
    <w:rsid w:val="F1F514F9"/>
    <w:rsid w:val="F1FD55DC"/>
    <w:rsid w:val="F23BA80B"/>
    <w:rsid w:val="F2FAA6A0"/>
    <w:rsid w:val="F3377DB8"/>
    <w:rsid w:val="F39E5F5B"/>
    <w:rsid w:val="F39F8188"/>
    <w:rsid w:val="F3CEE9F9"/>
    <w:rsid w:val="F3CF7066"/>
    <w:rsid w:val="F43E03E3"/>
    <w:rsid w:val="F4EF99DE"/>
    <w:rsid w:val="F4FF0402"/>
    <w:rsid w:val="F5D5690F"/>
    <w:rsid w:val="F5D71935"/>
    <w:rsid w:val="F5DEB324"/>
    <w:rsid w:val="F5DFEEEA"/>
    <w:rsid w:val="F5E7F00C"/>
    <w:rsid w:val="F5F18C09"/>
    <w:rsid w:val="F5F72A6D"/>
    <w:rsid w:val="F5FB3373"/>
    <w:rsid w:val="F637D653"/>
    <w:rsid w:val="F6C78CC0"/>
    <w:rsid w:val="F6DFD559"/>
    <w:rsid w:val="F6FD4C9B"/>
    <w:rsid w:val="F6FF9C46"/>
    <w:rsid w:val="F71F7AC6"/>
    <w:rsid w:val="F738C7AE"/>
    <w:rsid w:val="F753DD29"/>
    <w:rsid w:val="F75BFA49"/>
    <w:rsid w:val="F767E00C"/>
    <w:rsid w:val="F777D49F"/>
    <w:rsid w:val="F79F02CD"/>
    <w:rsid w:val="F7B51B6A"/>
    <w:rsid w:val="F7B787CB"/>
    <w:rsid w:val="F7BD4DD0"/>
    <w:rsid w:val="F7BFA982"/>
    <w:rsid w:val="F7BFFF69"/>
    <w:rsid w:val="F7CF2FE7"/>
    <w:rsid w:val="F7DF8BB8"/>
    <w:rsid w:val="F7E79E2A"/>
    <w:rsid w:val="F7EFEDAE"/>
    <w:rsid w:val="F7F7AC91"/>
    <w:rsid w:val="F7F9D9D2"/>
    <w:rsid w:val="F7FC1AEE"/>
    <w:rsid w:val="F7FC626D"/>
    <w:rsid w:val="F7FCCFCD"/>
    <w:rsid w:val="F7FD3B0B"/>
    <w:rsid w:val="F7FEFE74"/>
    <w:rsid w:val="F7FF0AFE"/>
    <w:rsid w:val="F7FF1A96"/>
    <w:rsid w:val="F7FF3C67"/>
    <w:rsid w:val="F7FFDCF4"/>
    <w:rsid w:val="F7FFF2EF"/>
    <w:rsid w:val="F8D764AD"/>
    <w:rsid w:val="F8D9AF12"/>
    <w:rsid w:val="F8DFFC1A"/>
    <w:rsid w:val="F8FF9C78"/>
    <w:rsid w:val="F93C1C67"/>
    <w:rsid w:val="F9CF664A"/>
    <w:rsid w:val="F9D6B392"/>
    <w:rsid w:val="F9E94C5C"/>
    <w:rsid w:val="F9EEE623"/>
    <w:rsid w:val="F9EF3E97"/>
    <w:rsid w:val="F9F5F13C"/>
    <w:rsid w:val="F9FDE0BB"/>
    <w:rsid w:val="F9FF8C6E"/>
    <w:rsid w:val="F9FFAA2C"/>
    <w:rsid w:val="F9FFDA00"/>
    <w:rsid w:val="FA6F3AD4"/>
    <w:rsid w:val="FADB960E"/>
    <w:rsid w:val="FADF5ADD"/>
    <w:rsid w:val="FAE759C7"/>
    <w:rsid w:val="FAF3AF00"/>
    <w:rsid w:val="FAFF8003"/>
    <w:rsid w:val="FAFFD323"/>
    <w:rsid w:val="FB4A1AD4"/>
    <w:rsid w:val="FB754D83"/>
    <w:rsid w:val="FB7BB61F"/>
    <w:rsid w:val="FB7E2DE8"/>
    <w:rsid w:val="FB7F6CE0"/>
    <w:rsid w:val="FB9BBA4E"/>
    <w:rsid w:val="FBA56F69"/>
    <w:rsid w:val="FBB76393"/>
    <w:rsid w:val="FBB7FD0B"/>
    <w:rsid w:val="FBBFF38E"/>
    <w:rsid w:val="FBC71C6E"/>
    <w:rsid w:val="FBC9D5EA"/>
    <w:rsid w:val="FBCF75C1"/>
    <w:rsid w:val="FBDFEA4C"/>
    <w:rsid w:val="FBEE097C"/>
    <w:rsid w:val="FBF796A2"/>
    <w:rsid w:val="FBF8E5F5"/>
    <w:rsid w:val="FBFD85F9"/>
    <w:rsid w:val="FBFE64C8"/>
    <w:rsid w:val="FBFEA091"/>
    <w:rsid w:val="FBFF37B2"/>
    <w:rsid w:val="FC7F16D3"/>
    <w:rsid w:val="FCFAFFBE"/>
    <w:rsid w:val="FCFFA99D"/>
    <w:rsid w:val="FD177F41"/>
    <w:rsid w:val="FD1E79B5"/>
    <w:rsid w:val="FD35C8DB"/>
    <w:rsid w:val="FD373EC3"/>
    <w:rsid w:val="FD5A7BC7"/>
    <w:rsid w:val="FD5F73A4"/>
    <w:rsid w:val="FD6BD576"/>
    <w:rsid w:val="FD761121"/>
    <w:rsid w:val="FD7CB4BB"/>
    <w:rsid w:val="FD7DCF5A"/>
    <w:rsid w:val="FD7F39D2"/>
    <w:rsid w:val="FD9B7A3E"/>
    <w:rsid w:val="FD9F609E"/>
    <w:rsid w:val="FD9FB5F2"/>
    <w:rsid w:val="FDA525AE"/>
    <w:rsid w:val="FDABBC9D"/>
    <w:rsid w:val="FDD2CB62"/>
    <w:rsid w:val="FDDBFDB8"/>
    <w:rsid w:val="FDE78386"/>
    <w:rsid w:val="FDEBE429"/>
    <w:rsid w:val="FDEDD413"/>
    <w:rsid w:val="FDEE4B35"/>
    <w:rsid w:val="FDEF1C11"/>
    <w:rsid w:val="FDF3C363"/>
    <w:rsid w:val="FDF77AEB"/>
    <w:rsid w:val="FDF8FEEC"/>
    <w:rsid w:val="FDFAA101"/>
    <w:rsid w:val="FDFEA224"/>
    <w:rsid w:val="FDFF676B"/>
    <w:rsid w:val="FDFF739F"/>
    <w:rsid w:val="FDFFD458"/>
    <w:rsid w:val="FDFFE7F1"/>
    <w:rsid w:val="FE3FA1B5"/>
    <w:rsid w:val="FE6D6E84"/>
    <w:rsid w:val="FE79E415"/>
    <w:rsid w:val="FEA567B9"/>
    <w:rsid w:val="FEAB15AC"/>
    <w:rsid w:val="FEAB9690"/>
    <w:rsid w:val="FEAFD427"/>
    <w:rsid w:val="FEB1ED19"/>
    <w:rsid w:val="FEB77691"/>
    <w:rsid w:val="FEBF24F2"/>
    <w:rsid w:val="FED65E1B"/>
    <w:rsid w:val="FEE16CAD"/>
    <w:rsid w:val="FEE7361F"/>
    <w:rsid w:val="FEEA5682"/>
    <w:rsid w:val="FEEFC340"/>
    <w:rsid w:val="FEF55E2F"/>
    <w:rsid w:val="FEF5B0C7"/>
    <w:rsid w:val="FEF9F82C"/>
    <w:rsid w:val="FEFB4A7C"/>
    <w:rsid w:val="FEFBEA7E"/>
    <w:rsid w:val="FEFF3DBB"/>
    <w:rsid w:val="FEFF4F31"/>
    <w:rsid w:val="FEFF94DF"/>
    <w:rsid w:val="FF1AABC4"/>
    <w:rsid w:val="FF36BE75"/>
    <w:rsid w:val="FF36FBB3"/>
    <w:rsid w:val="FF371E6E"/>
    <w:rsid w:val="FF3B1C86"/>
    <w:rsid w:val="FF3D284E"/>
    <w:rsid w:val="FF3FA8F5"/>
    <w:rsid w:val="FF5E3DF4"/>
    <w:rsid w:val="FF5FDA72"/>
    <w:rsid w:val="FF65BDD9"/>
    <w:rsid w:val="FF6FCB21"/>
    <w:rsid w:val="FF73E799"/>
    <w:rsid w:val="FF76A6ED"/>
    <w:rsid w:val="FF799BF8"/>
    <w:rsid w:val="FF7C14B5"/>
    <w:rsid w:val="FF7E0C77"/>
    <w:rsid w:val="FF7E8A08"/>
    <w:rsid w:val="FF7E9367"/>
    <w:rsid w:val="FF7F031A"/>
    <w:rsid w:val="FF7FC5BD"/>
    <w:rsid w:val="FF867CC4"/>
    <w:rsid w:val="FF8A80E4"/>
    <w:rsid w:val="FF9EA258"/>
    <w:rsid w:val="FF9F3FC4"/>
    <w:rsid w:val="FFA39878"/>
    <w:rsid w:val="FFA7DF9B"/>
    <w:rsid w:val="FFABABF2"/>
    <w:rsid w:val="FFABE7C2"/>
    <w:rsid w:val="FFAC7B42"/>
    <w:rsid w:val="FFAFFA09"/>
    <w:rsid w:val="FFB7159A"/>
    <w:rsid w:val="FFB99DEA"/>
    <w:rsid w:val="FFBCA6C8"/>
    <w:rsid w:val="FFBFC04A"/>
    <w:rsid w:val="FFBFE4C5"/>
    <w:rsid w:val="FFCB4A15"/>
    <w:rsid w:val="FFCDCD08"/>
    <w:rsid w:val="FFD406E3"/>
    <w:rsid w:val="FFD98F6A"/>
    <w:rsid w:val="FFDB6D48"/>
    <w:rsid w:val="FFDB9F5B"/>
    <w:rsid w:val="FFDE8312"/>
    <w:rsid w:val="FFDEC1AC"/>
    <w:rsid w:val="FFDF2EF9"/>
    <w:rsid w:val="FFDF7EDA"/>
    <w:rsid w:val="FFDF87E8"/>
    <w:rsid w:val="FFE90DE3"/>
    <w:rsid w:val="FFEDB06D"/>
    <w:rsid w:val="FFEF6B9A"/>
    <w:rsid w:val="FFEF7950"/>
    <w:rsid w:val="FFEF9118"/>
    <w:rsid w:val="FFEF944E"/>
    <w:rsid w:val="FFEFD11C"/>
    <w:rsid w:val="FFF52DD4"/>
    <w:rsid w:val="FFF60DB8"/>
    <w:rsid w:val="FFF7522D"/>
    <w:rsid w:val="FFF76BEC"/>
    <w:rsid w:val="FFF79DFC"/>
    <w:rsid w:val="FFF7E376"/>
    <w:rsid w:val="FFF7F400"/>
    <w:rsid w:val="FFF9F62C"/>
    <w:rsid w:val="FFFAF11E"/>
    <w:rsid w:val="FFFBDBF4"/>
    <w:rsid w:val="FFFD54AF"/>
    <w:rsid w:val="FFFD7FA6"/>
    <w:rsid w:val="FFFDF8F8"/>
    <w:rsid w:val="FFFDFC71"/>
    <w:rsid w:val="FFFE7C11"/>
    <w:rsid w:val="FFFEB425"/>
    <w:rsid w:val="FFFF0F5E"/>
    <w:rsid w:val="FFFF187F"/>
    <w:rsid w:val="FFFF1BB6"/>
    <w:rsid w:val="FFFF3C37"/>
    <w:rsid w:val="FFFF5DF7"/>
    <w:rsid w:val="FFFFB458"/>
    <w:rsid w:val="FFFFBB07"/>
    <w:rsid w:val="FFFFD7F3"/>
    <w:rsid w:val="FFFFEA78"/>
    <w:rsid w:val="FFFFF25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1">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99"/>
    <w:pPr>
      <w:ind w:firstLine="640" w:firstLineChars="200"/>
    </w:pPr>
  </w:style>
  <w:style w:type="paragraph" w:styleId="3">
    <w:name w:val="Body Text Indent"/>
    <w:basedOn w:val="1"/>
    <w:qFormat/>
    <w:uiPriority w:val="99"/>
    <w:pPr>
      <w:spacing w:line="600" w:lineRule="atLeast"/>
      <w:ind w:firstLine="600"/>
    </w:pPr>
    <w:rPr>
      <w:rFonts w:ascii="仿宋_GB2312" w:hAnsi="Times New Roman" w:eastAsia="仿宋_GB2312"/>
      <w:b/>
      <w:bCs/>
      <w:sz w:val="30"/>
      <w:szCs w:val="30"/>
    </w:rPr>
  </w:style>
  <w:style w:type="paragraph" w:styleId="5">
    <w:name w:val="caption"/>
    <w:basedOn w:val="1"/>
    <w:next w:val="1"/>
    <w:qFormat/>
    <w:uiPriority w:val="0"/>
    <w:pPr>
      <w:suppressLineNumbers/>
      <w:spacing w:before="120" w:after="120"/>
    </w:pPr>
    <w:rPr>
      <w:i/>
      <w:iCs/>
      <w:sz w:val="24"/>
    </w:rPr>
  </w:style>
  <w:style w:type="paragraph" w:styleId="6">
    <w:name w:val="Body Text"/>
    <w:basedOn w:val="1"/>
    <w:qFormat/>
    <w:uiPriority w:val="0"/>
    <w:pPr>
      <w:spacing w:after="140" w:line="276" w:lineRule="auto"/>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List"/>
    <w:basedOn w:val="6"/>
    <w:qFormat/>
    <w:uiPriority w:val="0"/>
  </w:style>
  <w:style w:type="paragraph" w:styleId="10">
    <w:name w:val="Title"/>
    <w:basedOn w:val="1"/>
    <w:next w:val="1"/>
    <w:qFormat/>
    <w:uiPriority w:val="0"/>
    <w:pPr>
      <w:jc w:val="center"/>
      <w:textAlignment w:val="baseline"/>
    </w:pPr>
    <w:rPr>
      <w:rFonts w:ascii="Cambria" w:hAnsi="Cambria"/>
      <w:b/>
      <w:sz w:val="32"/>
      <w:szCs w:val="32"/>
    </w:rPr>
  </w:style>
  <w:style w:type="character" w:styleId="12">
    <w:name w:val="Strong"/>
    <w:qFormat/>
    <w:uiPriority w:val="0"/>
    <w:rPr>
      <w:b/>
    </w:rPr>
  </w:style>
  <w:style w:type="character" w:styleId="13">
    <w:name w:val="page number"/>
    <w:basedOn w:val="11"/>
    <w:unhideWhenUsed/>
    <w:qFormat/>
    <w:uiPriority w:val="99"/>
  </w:style>
  <w:style w:type="character" w:customStyle="1" w:styleId="15">
    <w:name w:val="默认段落字体1"/>
    <w:qFormat/>
    <w:uiPriority w:val="0"/>
  </w:style>
  <w:style w:type="paragraph" w:customStyle="1" w:styleId="16">
    <w:name w:val="默认"/>
    <w:qFormat/>
    <w:uiPriority w:val="0"/>
    <w:rPr>
      <w:rFonts w:ascii="Helvetica" w:hAnsi="Helvetica" w:eastAsia="Helvetica" w:cs="Helvetica"/>
      <w:color w:val="000000"/>
      <w:sz w:val="22"/>
      <w:szCs w:val="22"/>
      <w:lang w:val="en-US" w:eastAsia="zh-CN" w:bidi="ar-SA"/>
    </w:rPr>
  </w:style>
  <w:style w:type="paragraph" w:customStyle="1" w:styleId="17">
    <w:name w:val="Index"/>
    <w:basedOn w:val="1"/>
    <w:qFormat/>
    <w:uiPriority w:val="0"/>
    <w:pPr>
      <w:suppressLineNumbers/>
    </w:pPr>
  </w:style>
  <w:style w:type="paragraph" w:customStyle="1" w:styleId="18">
    <w:name w:val="Heading"/>
    <w:basedOn w:val="1"/>
    <w:next w:val="6"/>
    <w:qFormat/>
    <w:uiPriority w:val="0"/>
    <w:pPr>
      <w:keepNext/>
      <w:spacing w:before="240" w:after="120"/>
    </w:pPr>
    <w:rPr>
      <w:rFonts w:ascii="Liberation Sans" w:hAnsi="Liberation Sans" w:eastAsia="Noto Sans CJK SC Regular" w:cs="Noto Sans CJK SC Regular"/>
      <w:sz w:val="28"/>
      <w:szCs w:val="28"/>
    </w:rPr>
  </w:style>
  <w:style w:type="paragraph" w:customStyle="1" w:styleId="19">
    <w:name w:val="NormalIndent"/>
    <w:basedOn w:val="1"/>
    <w:qFormat/>
    <w:uiPriority w:val="0"/>
    <w:pPr>
      <w:ind w:firstLine="567"/>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527</Words>
  <Characters>3005</Characters>
  <Lines>25</Lines>
  <Paragraphs>7</Paragraphs>
  <TotalTime>0</TotalTime>
  <ScaleCrop>false</ScaleCrop>
  <LinksUpToDate>false</LinksUpToDate>
  <CharactersWithSpaces>3525</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2023-01-16T03:06:00Z</dcterms:created>
  <dc:creator>szfbtg</dc:creator>
  <cp:lastModifiedBy>l</cp:lastModifiedBy>
  <cp:lastPrinted>2023-01-30T06:49:00Z</cp:lastPrinted>
  <dcterms:modified xsi:type="dcterms:W3CDTF">2023-01-31T09:45:05Z</dcterms:modified>
  <dc:title>关于征求《重庆市人民政府机关2021年</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