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_GBK"/>
          <w:sz w:val="44"/>
          <w:szCs w:val="44"/>
        </w:rPr>
      </w:pPr>
    </w:p>
    <w:p>
      <w:pPr>
        <w:spacing w:line="600" w:lineRule="exact"/>
        <w:jc w:val="center"/>
        <w:rPr>
          <w:rFonts w:hint="eastAsia" w:ascii="Times New Roman" w:hAnsi="Times New Roman" w:eastAsia="方正小标宋_GBK"/>
          <w:sz w:val="44"/>
          <w:szCs w:val="44"/>
        </w:rPr>
      </w:pPr>
    </w:p>
    <w:p>
      <w:pPr>
        <w:spacing w:line="600" w:lineRule="exact"/>
        <w:jc w:val="center"/>
        <w:rPr>
          <w:rFonts w:hint="eastAsia"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重庆市人民政府办公厅</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lang w:eastAsia="zh-CN"/>
        </w:rPr>
        <w:t>2023</w:t>
      </w:r>
      <w:r>
        <w:rPr>
          <w:rFonts w:hint="eastAsia" w:ascii="Times New Roman" w:hAnsi="Times New Roman" w:eastAsia="方正小标宋_GBK"/>
          <w:sz w:val="44"/>
          <w:szCs w:val="44"/>
        </w:rPr>
        <w:t>年政府信息公开工作年度报告</w:t>
      </w: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根据《政府信息公开条例》和《中华人民共和国政府信息公开工作年度报告格式》规定，编制本报告。</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一、总体情况</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2023</w:t>
      </w:r>
      <w:r>
        <w:rPr>
          <w:rFonts w:hint="eastAsia" w:ascii="Times New Roman" w:hAnsi="Times New Roman" w:eastAsia="方正仿宋_GBK"/>
          <w:sz w:val="32"/>
          <w:szCs w:val="32"/>
        </w:rPr>
        <w:t>年，重庆市人民政府办公厅坚持以习近平新时代中国特色社会主义思想为指导，全面贯彻</w:t>
      </w:r>
      <w:r>
        <w:rPr>
          <w:rFonts w:hint="eastAsia" w:ascii="Times New Roman" w:hAnsi="Times New Roman" w:eastAsia="方正仿宋_GBK"/>
          <w:sz w:val="32"/>
          <w:szCs w:val="32"/>
          <w:lang w:val="en-US" w:eastAsia="zh-CN"/>
        </w:rPr>
        <w:t>落实</w:t>
      </w:r>
      <w:r>
        <w:rPr>
          <w:rFonts w:hint="eastAsia" w:ascii="Times New Roman" w:hAnsi="Times New Roman" w:eastAsia="方正仿宋_GBK"/>
          <w:sz w:val="32"/>
          <w:szCs w:val="32"/>
        </w:rPr>
        <w:t>党的二十大精神，按照党中央、国务院决策部署和市委、市政府工作要求，坚持以人民为中心，</w:t>
      </w:r>
      <w:r>
        <w:rPr>
          <w:rFonts w:hint="eastAsia" w:ascii="Times New Roman" w:hAnsi="Times New Roman" w:eastAsia="方正仿宋_GBK"/>
          <w:sz w:val="32"/>
          <w:szCs w:val="32"/>
          <w:lang w:val="en-US" w:eastAsia="zh-CN"/>
        </w:rPr>
        <w:t>深化政务公开，</w:t>
      </w:r>
      <w:r>
        <w:rPr>
          <w:rFonts w:hint="eastAsia" w:ascii="Times New Roman" w:hAnsi="Times New Roman" w:eastAsia="方正仿宋_GBK"/>
          <w:sz w:val="32"/>
          <w:szCs w:val="32"/>
        </w:rPr>
        <w:t>以公开促落实、助监督</w:t>
      </w:r>
      <w:r>
        <w:rPr>
          <w:rFonts w:hint="eastAsia" w:ascii="Times New Roman" w:hAnsi="Times New Roman" w:eastAsia="方正仿宋_GBK"/>
          <w:sz w:val="32"/>
          <w:szCs w:val="32"/>
          <w:lang w:val="en-US" w:eastAsia="zh-CN"/>
        </w:rPr>
        <w:t>取得积极成效</w:t>
      </w:r>
      <w:r>
        <w:rPr>
          <w:rFonts w:hint="eastAsia" w:ascii="Times New Roman" w:hAnsi="Times New Roman" w:eastAsia="方正仿宋_GBK"/>
          <w:sz w:val="32"/>
          <w:szCs w:val="32"/>
        </w:rPr>
        <w:t>。</w:t>
      </w:r>
    </w:p>
    <w:p>
      <w:pPr>
        <w:numPr>
          <w:ilvl w:val="0"/>
          <w:numId w:val="0"/>
        </w:numPr>
        <w:spacing w:line="600" w:lineRule="exact"/>
        <w:ind w:firstLine="640" w:firstLineChars="200"/>
        <w:rPr>
          <w:rFonts w:hint="eastAsia" w:ascii="Times New Roman" w:hAnsi="Times New Roman" w:eastAsia="方正仿宋_GBK"/>
          <w:sz w:val="32"/>
          <w:szCs w:val="32"/>
          <w:u w:val="thick"/>
        </w:rPr>
      </w:pPr>
      <w:r>
        <w:rPr>
          <w:rFonts w:hint="eastAsia" w:ascii="Times New Roman" w:hAnsi="Times New Roman" w:eastAsia="方正楷体_GBK" w:cs="方正楷体_GBK"/>
          <w:color w:val="000000"/>
          <w:sz w:val="32"/>
          <w:szCs w:val="32"/>
          <w:lang w:eastAsia="zh-CN"/>
        </w:rPr>
        <w:t>（一）依法依规深化</w:t>
      </w:r>
      <w:r>
        <w:rPr>
          <w:rFonts w:hint="eastAsia" w:ascii="Times New Roman" w:hAnsi="Times New Roman" w:eastAsia="方正楷体_GBK" w:cs="方正楷体_GBK"/>
          <w:color w:val="000000"/>
          <w:sz w:val="32"/>
          <w:szCs w:val="32"/>
        </w:rPr>
        <w:t>主动公开。</w:t>
      </w:r>
      <w:r>
        <w:rPr>
          <w:rFonts w:hint="eastAsia" w:ascii="Times New Roman" w:hAnsi="Times New Roman" w:eastAsia="方正仿宋_GBK"/>
          <w:b/>
          <w:bCs/>
          <w:sz w:val="32"/>
          <w:szCs w:val="32"/>
        </w:rPr>
        <w:t>一是</w:t>
      </w:r>
      <w:r>
        <w:rPr>
          <w:rFonts w:hint="eastAsia" w:ascii="Times New Roman" w:hAnsi="Times New Roman" w:eastAsia="方正仿宋_GBK"/>
          <w:b/>
          <w:bCs/>
          <w:sz w:val="32"/>
          <w:szCs w:val="32"/>
          <w:lang w:eastAsia="zh-CN"/>
        </w:rPr>
        <w:t>围绕</w:t>
      </w:r>
      <w:r>
        <w:rPr>
          <w:rFonts w:hint="default" w:ascii="Times New Roman" w:hAnsi="Times New Roman" w:eastAsia="方正仿宋_GBK"/>
          <w:b/>
          <w:bCs/>
          <w:sz w:val="32"/>
          <w:szCs w:val="32"/>
        </w:rPr>
        <w:t>中心工作发布权威</w:t>
      </w:r>
      <w:r>
        <w:rPr>
          <w:rFonts w:hint="eastAsia" w:ascii="Times New Roman" w:hAnsi="Times New Roman" w:eastAsia="方正仿宋_GBK"/>
          <w:b/>
          <w:bCs/>
          <w:sz w:val="32"/>
          <w:szCs w:val="32"/>
          <w:lang w:eastAsia="zh-CN"/>
        </w:rPr>
        <w:t>信息</w:t>
      </w:r>
      <w:r>
        <w:rPr>
          <w:rFonts w:hint="default" w:ascii="Times New Roman" w:hAnsi="Times New Roman" w:eastAsia="方正仿宋_GBK"/>
          <w:b/>
          <w:bCs/>
          <w:sz w:val="32"/>
          <w:szCs w:val="32"/>
        </w:rPr>
        <w:t>。</w:t>
      </w:r>
      <w:r>
        <w:rPr>
          <w:rFonts w:hint="default" w:ascii="Times New Roman" w:hAnsi="Times New Roman" w:eastAsia="方正仿宋_GBK"/>
          <w:sz w:val="32"/>
          <w:szCs w:val="32"/>
        </w:rPr>
        <w:t>充分发挥政府网站、</w:t>
      </w:r>
      <w:r>
        <w:rPr>
          <w:rFonts w:hint="eastAsia" w:ascii="Times New Roman" w:hAnsi="Times New Roman" w:eastAsia="方正仿宋_GBK"/>
          <w:sz w:val="32"/>
          <w:szCs w:val="32"/>
          <w:lang w:eastAsia="zh-CN"/>
        </w:rPr>
        <w:t>政务新媒体、</w:t>
      </w:r>
      <w:r>
        <w:rPr>
          <w:rFonts w:hint="default" w:ascii="Times New Roman" w:hAnsi="Times New Roman" w:eastAsia="方正仿宋_GBK"/>
          <w:sz w:val="32"/>
          <w:szCs w:val="32"/>
        </w:rPr>
        <w:t>新闻发布会等官方平台</w:t>
      </w:r>
      <w:r>
        <w:rPr>
          <w:rFonts w:hint="eastAsia" w:ascii="Times New Roman" w:hAnsi="Times New Roman" w:eastAsia="方正仿宋_GBK"/>
          <w:sz w:val="32"/>
          <w:szCs w:val="32"/>
          <w:lang w:eastAsia="zh-CN"/>
        </w:rPr>
        <w:t>渠道</w:t>
      </w:r>
      <w:r>
        <w:rPr>
          <w:rFonts w:hint="default" w:ascii="Times New Roman" w:hAnsi="Times New Roman" w:eastAsia="方正仿宋_GBK"/>
          <w:sz w:val="32"/>
          <w:szCs w:val="32"/>
        </w:rPr>
        <w:t>作用，第一时间权威发布</w:t>
      </w:r>
      <w:r>
        <w:rPr>
          <w:rFonts w:hint="eastAsia" w:ascii="Times New Roman" w:hAnsi="Times New Roman" w:eastAsia="方正仿宋_GBK"/>
          <w:sz w:val="32"/>
          <w:szCs w:val="32"/>
          <w:lang w:eastAsia="zh-CN"/>
        </w:rPr>
        <w:t>市</w:t>
      </w:r>
      <w:r>
        <w:rPr>
          <w:rFonts w:hint="default" w:ascii="Times New Roman" w:hAnsi="Times New Roman" w:eastAsia="方正仿宋_GBK"/>
          <w:sz w:val="32"/>
          <w:szCs w:val="32"/>
        </w:rPr>
        <w:t>政府重要会议、活动和政策文件。</w:t>
      </w:r>
      <w:r>
        <w:rPr>
          <w:rFonts w:hint="eastAsia" w:ascii="Times New Roman" w:hAnsi="Times New Roman" w:eastAsia="方正仿宋_GBK"/>
          <w:sz w:val="32"/>
          <w:szCs w:val="32"/>
        </w:rPr>
        <w:t>围绕成渝地区双城经济圈、西部陆海新通道建设，公开重要政策、重点规划、重大项目信息2000余条，积极引导市场预期。主动公开</w:t>
      </w:r>
      <w:r>
        <w:rPr>
          <w:rFonts w:hint="eastAsia" w:ascii="Times New Roman" w:hAnsi="Times New Roman" w:eastAsia="方正仿宋_GBK"/>
          <w:sz w:val="32"/>
          <w:szCs w:val="32"/>
          <w:lang w:eastAsia="zh-CN"/>
        </w:rPr>
        <w:t>2023</w:t>
      </w:r>
      <w:r>
        <w:rPr>
          <w:rFonts w:hint="eastAsia" w:ascii="Times New Roman" w:hAnsi="Times New Roman" w:eastAsia="方正仿宋_GBK"/>
          <w:sz w:val="32"/>
          <w:szCs w:val="32"/>
        </w:rPr>
        <w:t>年新制</w:t>
      </w:r>
      <w:r>
        <w:rPr>
          <w:rFonts w:hint="eastAsia" w:ascii="Times New Roman" w:hAnsi="Times New Roman" w:eastAsia="方正仿宋_GBK"/>
          <w:sz w:val="32"/>
          <w:szCs w:val="32"/>
          <w:lang w:eastAsia="zh-CN"/>
        </w:rPr>
        <w:t>发</w:t>
      </w:r>
      <w:r>
        <w:rPr>
          <w:rFonts w:hint="eastAsia" w:ascii="Times New Roman" w:hAnsi="Times New Roman" w:eastAsia="方正仿宋_GBK"/>
          <w:sz w:val="32"/>
          <w:szCs w:val="32"/>
        </w:rPr>
        <w:t>的市政府规章</w:t>
      </w:r>
      <w:r>
        <w:rPr>
          <w:rFonts w:hint="eastAsia" w:ascii="Times New Roman" w:hAnsi="Times New Roman" w:eastAsia="方正仿宋_GBK"/>
          <w:sz w:val="32"/>
          <w:szCs w:val="32"/>
          <w:lang w:val="en-US" w:eastAsia="zh-CN"/>
        </w:rPr>
        <w:t>13</w:t>
      </w:r>
      <w:r>
        <w:rPr>
          <w:rFonts w:hint="eastAsia" w:ascii="Times New Roman" w:hAnsi="Times New Roman" w:eastAsia="方正仿宋_GBK"/>
          <w:sz w:val="32"/>
          <w:szCs w:val="32"/>
        </w:rPr>
        <w:t>件、市政府行政规范性文件</w:t>
      </w:r>
      <w:r>
        <w:rPr>
          <w:rFonts w:hint="eastAsia" w:ascii="Times New Roman" w:hAnsi="Times New Roman" w:eastAsia="方正仿宋_GBK"/>
          <w:sz w:val="32"/>
          <w:szCs w:val="32"/>
          <w:lang w:val="en-US" w:eastAsia="zh-CN"/>
        </w:rPr>
        <w:t>25</w:t>
      </w:r>
      <w:r>
        <w:rPr>
          <w:rFonts w:hint="eastAsia" w:ascii="Times New Roman" w:hAnsi="Times New Roman" w:eastAsia="方正仿宋_GBK"/>
          <w:sz w:val="32"/>
          <w:szCs w:val="32"/>
        </w:rPr>
        <w:t>件，公开市政府全体会议信息2</w:t>
      </w:r>
      <w:r>
        <w:rPr>
          <w:rFonts w:hint="eastAsia" w:ascii="Times New Roman" w:hAnsi="Times New Roman" w:eastAsia="方正仿宋_GBK"/>
          <w:sz w:val="32"/>
          <w:szCs w:val="32"/>
          <w:lang w:val="en"/>
        </w:rPr>
        <w:t>条</w:t>
      </w:r>
      <w:r>
        <w:rPr>
          <w:rFonts w:hint="eastAsia" w:ascii="Times New Roman" w:hAnsi="Times New Roman" w:eastAsia="方正仿宋_GBK"/>
          <w:sz w:val="32"/>
          <w:szCs w:val="32"/>
        </w:rPr>
        <w:t>、常务会议信息2</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条</w:t>
      </w:r>
      <w:r>
        <w:rPr>
          <w:rFonts w:hint="eastAsia" w:ascii="Times New Roman" w:hAnsi="Times New Roman" w:eastAsia="方正仿宋_GBK"/>
          <w:sz w:val="32"/>
          <w:szCs w:val="32"/>
          <w:lang w:val="en"/>
        </w:rPr>
        <w:t>，公开</w:t>
      </w:r>
      <w:r>
        <w:rPr>
          <w:rFonts w:hint="eastAsia" w:ascii="Times New Roman" w:hAnsi="Times New Roman" w:eastAsia="方正仿宋_GBK"/>
          <w:sz w:val="32"/>
          <w:szCs w:val="32"/>
        </w:rPr>
        <w:t>市政府办公厅预决算信息</w:t>
      </w:r>
      <w:r>
        <w:rPr>
          <w:rFonts w:hint="eastAsia" w:ascii="Times New Roman" w:hAnsi="Times New Roman" w:eastAsia="方正仿宋_GBK"/>
          <w:sz w:val="32"/>
          <w:szCs w:val="32"/>
          <w:lang w:val="en-US" w:eastAsia="zh-CN"/>
        </w:rPr>
        <w:t>10</w:t>
      </w:r>
      <w:bookmarkStart w:id="0" w:name="_GoBack"/>
      <w:bookmarkEnd w:id="0"/>
      <w:r>
        <w:rPr>
          <w:rFonts w:hint="eastAsia" w:ascii="Times New Roman" w:hAnsi="Times New Roman" w:eastAsia="方正仿宋_GBK"/>
          <w:sz w:val="32"/>
          <w:szCs w:val="32"/>
        </w:rPr>
        <w:t>条。围绕稳进增效和惠民</w:t>
      </w:r>
      <w:r>
        <w:rPr>
          <w:rFonts w:hint="eastAsia" w:ascii="Times New Roman" w:hAnsi="Times New Roman" w:eastAsia="方正仿宋_GBK"/>
          <w:sz w:val="32"/>
          <w:szCs w:val="32"/>
          <w:lang w:eastAsia="zh-CN"/>
        </w:rPr>
        <w:t>强企</w:t>
      </w:r>
      <w:r>
        <w:rPr>
          <w:rFonts w:hint="eastAsia" w:ascii="Times New Roman" w:hAnsi="Times New Roman" w:eastAsia="方正仿宋_GBK"/>
          <w:sz w:val="32"/>
          <w:szCs w:val="32"/>
        </w:rPr>
        <w:t>，推动各级行政机关依法公开各类财税、金融、教育、就业、医疗等政策措施2.7万余条。围绕优化营商环境，分类公开企业开办、施工许可办理等信息2.3万余条。</w:t>
      </w:r>
      <w:r>
        <w:rPr>
          <w:rFonts w:hint="eastAsia" w:ascii="Times New Roman" w:hAnsi="Times New Roman" w:eastAsia="方正仿宋_GBK"/>
          <w:b/>
          <w:bCs/>
          <w:sz w:val="32"/>
          <w:szCs w:val="32"/>
        </w:rPr>
        <w:t>二</w:t>
      </w:r>
      <w:r>
        <w:rPr>
          <w:rFonts w:hint="eastAsia" w:ascii="Times New Roman" w:hAnsi="Times New Roman" w:eastAsia="方正仿宋_GBK"/>
          <w:b/>
          <w:bCs/>
          <w:sz w:val="32"/>
          <w:szCs w:val="32"/>
          <w:lang w:eastAsia="zh-CN"/>
        </w:rPr>
        <w:t>是</w:t>
      </w:r>
      <w:r>
        <w:rPr>
          <w:rFonts w:hint="default" w:ascii="Times New Roman" w:hAnsi="Times New Roman" w:eastAsia="方正仿宋_GBK"/>
          <w:b/>
          <w:bCs/>
          <w:sz w:val="32"/>
          <w:szCs w:val="32"/>
        </w:rPr>
        <w:t>加强精准公开</w:t>
      </w:r>
      <w:r>
        <w:rPr>
          <w:rFonts w:hint="eastAsia" w:ascii="Times New Roman" w:hAnsi="Times New Roman" w:eastAsia="方正仿宋_GBK"/>
          <w:b/>
          <w:bCs/>
          <w:sz w:val="32"/>
          <w:szCs w:val="32"/>
        </w:rPr>
        <w:t>促落实优服务。</w:t>
      </w:r>
      <w:r>
        <w:rPr>
          <w:rFonts w:hint="eastAsia" w:ascii="Times New Roman" w:hAnsi="Times New Roman" w:eastAsia="方正仿宋_GBK"/>
          <w:sz w:val="32"/>
          <w:szCs w:val="32"/>
        </w:rPr>
        <w:t>及时更新</w:t>
      </w:r>
      <w:r>
        <w:rPr>
          <w:rFonts w:hint="eastAsia" w:ascii="Times New Roman" w:hAnsi="Times New Roman" w:eastAsia="方正仿宋_GBK"/>
          <w:sz w:val="32"/>
          <w:szCs w:val="32"/>
          <w:lang w:eastAsia="zh-CN"/>
        </w:rPr>
        <w:t>发布</w:t>
      </w:r>
      <w:r>
        <w:rPr>
          <w:rFonts w:hint="eastAsia" w:ascii="Times New Roman" w:hAnsi="Times New Roman" w:eastAsia="方正仿宋_GBK"/>
          <w:sz w:val="32"/>
          <w:szCs w:val="32"/>
        </w:rPr>
        <w:t>2023年版基层政务公开标准目录</w:t>
      </w:r>
      <w:r>
        <w:rPr>
          <w:rFonts w:hint="eastAsia" w:ascii="Times New Roman" w:hAnsi="Times New Roman" w:eastAsia="方正仿宋_GBK"/>
          <w:sz w:val="32"/>
          <w:szCs w:val="32"/>
          <w:lang w:eastAsia="zh-CN"/>
        </w:rPr>
        <w:t>，共涉及</w:t>
      </w:r>
      <w:r>
        <w:rPr>
          <w:rFonts w:hint="eastAsia" w:ascii="Times New Roman" w:hAnsi="Times New Roman" w:eastAsia="方正仿宋_GBK"/>
          <w:sz w:val="32"/>
          <w:szCs w:val="32"/>
        </w:rPr>
        <w:t>21个市政府部门31个领域、3500余个公开事项。推动市政府部门、各区县政府建立“惠民惠农财政补贴资金”公开专栏，全面公开17项纳入“一卡通”管理的惠民惠农财政补贴的政策文件依据、补贴清单、申报指南、发放信息、咨询投诉渠道等5类信息，以公开透明助推150亿元惠民惠农财政补贴资金精准发放。推动出台医疗卫生、城市供水、环境保护、公共交通、天然气5个领域公共企事业单位信息公开实施细则并监督施行，以有力有效的信息公开加强公共企事业单位监督管理，提升</w:t>
      </w:r>
      <w:r>
        <w:rPr>
          <w:rFonts w:hint="eastAsia" w:ascii="Times New Roman" w:hAnsi="Times New Roman" w:eastAsia="方正仿宋_GBK"/>
          <w:sz w:val="32"/>
          <w:szCs w:val="32"/>
          <w:lang w:eastAsia="zh-CN"/>
        </w:rPr>
        <w:t>公共</w:t>
      </w:r>
      <w:r>
        <w:rPr>
          <w:rFonts w:hint="eastAsia" w:ascii="Times New Roman" w:hAnsi="Times New Roman" w:eastAsia="方正仿宋_GBK"/>
          <w:sz w:val="32"/>
          <w:szCs w:val="32"/>
        </w:rPr>
        <w:t>服务水平。</w:t>
      </w:r>
      <w:r>
        <w:rPr>
          <w:rFonts w:hint="eastAsia" w:ascii="方正仿宋_GBK" w:hAnsi="方正仿宋_GBK" w:eastAsia="方正仿宋_GBK" w:cs="方正仿宋_GBK"/>
          <w:b/>
          <w:bCs/>
          <w:color w:val="auto"/>
          <w:sz w:val="32"/>
          <w:szCs w:val="32"/>
          <w:lang w:val="en-US" w:eastAsia="zh-CN"/>
        </w:rPr>
        <w:t>三是聚焦政策公开强化解读回应。</w:t>
      </w:r>
      <w:r>
        <w:rPr>
          <w:rFonts w:hint="eastAsia" w:ascii="Times New Roman" w:hAnsi="Times New Roman" w:eastAsia="方正仿宋_GBK"/>
          <w:sz w:val="32"/>
          <w:szCs w:val="32"/>
        </w:rPr>
        <w:t>常态化开展政策公开、政策解读监督提醒，</w:t>
      </w:r>
      <w:r>
        <w:rPr>
          <w:rFonts w:hint="eastAsia" w:ascii="Times New Roman" w:hAnsi="Times New Roman" w:eastAsia="方正仿宋_GBK"/>
          <w:sz w:val="32"/>
          <w:szCs w:val="32"/>
          <w:lang w:eastAsia="zh-CN"/>
        </w:rPr>
        <w:t>发布</w:t>
      </w:r>
      <w:r>
        <w:rPr>
          <w:rFonts w:hint="eastAsia" w:ascii="Times New Roman" w:hAnsi="Times New Roman" w:eastAsia="方正仿宋_GBK"/>
          <w:sz w:val="32"/>
          <w:szCs w:val="32"/>
        </w:rPr>
        <w:t>市政府</w:t>
      </w:r>
      <w:r>
        <w:rPr>
          <w:rFonts w:hint="eastAsia" w:ascii="Times New Roman" w:hAnsi="Times New Roman" w:eastAsia="方正仿宋_GBK"/>
          <w:sz w:val="32"/>
          <w:szCs w:val="32"/>
          <w:lang w:eastAsia="zh-CN"/>
        </w:rPr>
        <w:t>出台的新政策、新措施及解读信息300余条</w:t>
      </w:r>
      <w:r>
        <w:rPr>
          <w:rFonts w:hint="eastAsia" w:ascii="Times New Roman" w:hAnsi="Times New Roman" w:eastAsia="方正仿宋_GBK"/>
          <w:sz w:val="32"/>
          <w:szCs w:val="32"/>
        </w:rPr>
        <w:t>，市政府重要政策公开率、解读率</w:t>
      </w:r>
      <w:r>
        <w:rPr>
          <w:rFonts w:hint="eastAsia" w:ascii="Times New Roman" w:hAnsi="Times New Roman" w:eastAsia="方正仿宋_GBK"/>
          <w:sz w:val="32"/>
          <w:szCs w:val="32"/>
          <w:lang w:eastAsia="zh-CN"/>
        </w:rPr>
        <w:t>均</w:t>
      </w:r>
      <w:r>
        <w:rPr>
          <w:rFonts w:hint="eastAsia" w:ascii="Times New Roman" w:hAnsi="Times New Roman" w:eastAsia="方正仿宋_GBK"/>
          <w:sz w:val="32"/>
          <w:szCs w:val="32"/>
        </w:rPr>
        <w:t>达100%。运用图表图解、音视频等多种形式对政策进行形象化实质化</w:t>
      </w:r>
      <w:r>
        <w:rPr>
          <w:rFonts w:hint="eastAsia" w:ascii="Times New Roman" w:hAnsi="Times New Roman" w:eastAsia="方正仿宋_GBK"/>
          <w:sz w:val="32"/>
          <w:szCs w:val="32"/>
          <w:lang w:eastAsia="zh-CN"/>
        </w:rPr>
        <w:t>解读，</w:t>
      </w:r>
      <w:r>
        <w:rPr>
          <w:rFonts w:hint="eastAsia" w:ascii="Times New Roman" w:hAnsi="Times New Roman" w:eastAsia="方正仿宋_GBK"/>
          <w:sz w:val="32"/>
          <w:szCs w:val="32"/>
        </w:rPr>
        <w:t>解读质量明显提升</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建立市级“政策咨询问答库”</w:t>
      </w:r>
      <w:r>
        <w:rPr>
          <w:rFonts w:hint="eastAsia" w:ascii="Times New Roman" w:hAnsi="Times New Roman" w:eastAsia="方正仿宋_GBK"/>
          <w:sz w:val="32"/>
          <w:szCs w:val="32"/>
          <w:lang w:val="en-US" w:eastAsia="zh-CN"/>
        </w:rPr>
        <w:t>39</w:t>
      </w:r>
      <w:r>
        <w:rPr>
          <w:rFonts w:hint="eastAsia" w:ascii="Times New Roman" w:hAnsi="Times New Roman" w:eastAsia="方正仿宋_GBK"/>
          <w:sz w:val="32"/>
          <w:szCs w:val="32"/>
        </w:rPr>
        <w:t>个</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按领域分类展示政策咨询问答，方便群众快速查找查看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依托“12345”政务服务便民热线为企业群众提供“一号答”“一站式”的政策咨询服务</w:t>
      </w:r>
      <w:r>
        <w:rPr>
          <w:rFonts w:hint="eastAsia" w:ascii="Times New Roman" w:hAnsi="Times New Roman" w:eastAsia="方正仿宋_GBK"/>
          <w:sz w:val="32"/>
          <w:szCs w:val="32"/>
          <w:lang w:val="en-US" w:eastAsia="zh-CN"/>
        </w:rPr>
        <w:t>700</w:t>
      </w:r>
      <w:r>
        <w:rPr>
          <w:rFonts w:hint="eastAsia" w:ascii="Times New Roman" w:hAnsi="Times New Roman" w:eastAsia="方正仿宋_GBK"/>
          <w:sz w:val="32"/>
          <w:szCs w:val="32"/>
        </w:rPr>
        <w:t>余万次。</w:t>
      </w:r>
    </w:p>
    <w:p>
      <w:pPr>
        <w:numPr>
          <w:ilvl w:val="0"/>
          <w:numId w:val="0"/>
        </w:numPr>
        <w:spacing w:line="600" w:lineRule="exact"/>
        <w:ind w:firstLine="640" w:firstLineChars="200"/>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（二）</w:t>
      </w:r>
      <w:r>
        <w:rPr>
          <w:rFonts w:hint="eastAsia" w:ascii="Times New Roman" w:hAnsi="Times New Roman" w:eastAsia="方正楷体_GBK" w:cs="方正楷体_GBK"/>
          <w:color w:val="000000"/>
          <w:sz w:val="32"/>
          <w:szCs w:val="32"/>
          <w:lang w:val="en-US" w:eastAsia="zh-CN"/>
        </w:rPr>
        <w:t>高质高效做好</w:t>
      </w:r>
      <w:r>
        <w:rPr>
          <w:rFonts w:hint="eastAsia" w:ascii="Times New Roman" w:hAnsi="Times New Roman" w:eastAsia="方正楷体_GBK" w:cs="方正楷体_GBK"/>
          <w:color w:val="000000"/>
          <w:sz w:val="32"/>
          <w:szCs w:val="32"/>
        </w:rPr>
        <w:t>依申请公开。</w:t>
      </w:r>
      <w:r>
        <w:rPr>
          <w:rFonts w:hint="eastAsia" w:ascii="Times New Roman" w:hAnsi="Times New Roman" w:eastAsia="方正仿宋_GBK"/>
          <w:sz w:val="32"/>
          <w:szCs w:val="32"/>
          <w:lang w:val="en-US" w:eastAsia="zh-CN"/>
        </w:rPr>
        <w:t>全面贯彻落实《</w:t>
      </w:r>
      <w:r>
        <w:rPr>
          <w:rFonts w:hint="eastAsia" w:ascii="Times New Roman" w:hAnsi="Times New Roman" w:eastAsia="方正仿宋_GBK"/>
          <w:sz w:val="32"/>
          <w:szCs w:val="32"/>
        </w:rPr>
        <w:t>政府信息公开条例</w:t>
      </w:r>
      <w:r>
        <w:rPr>
          <w:rFonts w:hint="eastAsia" w:ascii="Times New Roman" w:hAnsi="Times New Roman" w:eastAsia="方正仿宋_GBK"/>
          <w:sz w:val="32"/>
          <w:szCs w:val="32"/>
          <w:lang w:val="en-US" w:eastAsia="zh-CN"/>
        </w:rPr>
        <w:t>》等规定，规范完善政府信息公开申请办理程序。修</w:t>
      </w:r>
      <w:r>
        <w:rPr>
          <w:rFonts w:hint="eastAsia" w:ascii="Times New Roman" w:hAnsi="Times New Roman" w:eastAsia="方正仿宋_GBK" w:cs="Times New Roman"/>
          <w:color w:val="000000"/>
          <w:sz w:val="32"/>
          <w:szCs w:val="32"/>
          <w:lang w:val="en-US" w:eastAsia="zh-CN"/>
        </w:rPr>
        <w:t>订完善</w:t>
      </w:r>
      <w:r>
        <w:rPr>
          <w:rFonts w:hint="eastAsia" w:ascii="Times New Roman" w:hAnsi="Times New Roman" w:eastAsia="方正仿宋_GBK" w:cs="Times New Roman"/>
          <w:color w:val="000000"/>
          <w:sz w:val="32"/>
          <w:szCs w:val="32"/>
          <w:lang w:eastAsia="zh-CN"/>
        </w:rPr>
        <w:t>《重庆市人民政府办公厅</w:t>
      </w:r>
      <w:r>
        <w:rPr>
          <w:rFonts w:hint="eastAsia" w:ascii="Times New Roman" w:hAnsi="Times New Roman" w:eastAsia="方正仿宋_GBK" w:cs="Times New Roman"/>
          <w:color w:val="000000"/>
          <w:sz w:val="32"/>
          <w:szCs w:val="32"/>
          <w:lang w:val="en-US" w:eastAsia="zh-CN"/>
        </w:rPr>
        <w:t>政府信息公开指南（2023年版）》，</w:t>
      </w:r>
      <w:r>
        <w:rPr>
          <w:rFonts w:hint="eastAsia" w:ascii="Times New Roman" w:hAnsi="Times New Roman" w:eastAsia="方正仿宋_GBK"/>
          <w:sz w:val="32"/>
          <w:szCs w:val="32"/>
          <w:lang w:val="en-US" w:eastAsia="zh-CN"/>
        </w:rPr>
        <w:t>进一步完善依申请公开全生命周期内部办理流程，并指导全市各部门各区县加强对依申请公开工作的管理</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坚持</w:t>
      </w:r>
      <w:r>
        <w:rPr>
          <w:rFonts w:hint="eastAsia" w:ascii="Times New Roman" w:hAnsi="Times New Roman" w:eastAsia="方正仿宋_GBK"/>
          <w:sz w:val="32"/>
          <w:szCs w:val="32"/>
          <w:u w:val="none"/>
        </w:rPr>
        <w:t>政府信息公开便民原则，主动加强与申请人沟通，</w:t>
      </w:r>
      <w:r>
        <w:rPr>
          <w:rFonts w:hint="eastAsia" w:ascii="Times New Roman" w:hAnsi="Times New Roman" w:eastAsia="方正仿宋_GBK"/>
          <w:sz w:val="32"/>
          <w:szCs w:val="32"/>
          <w:lang w:val="en-US" w:eastAsia="zh-CN"/>
        </w:rPr>
        <w:t>全年共受理政府信息公开申请710件（含上年度结转57件），办结651件，切实做到应公开尽公开，全年办理由政府信息公开申请引发的行政复议14件、</w:t>
      </w:r>
      <w:r>
        <w:rPr>
          <w:rFonts w:hint="eastAsia" w:ascii="Times New Roman" w:hAnsi="Times New Roman" w:eastAsia="方正仿宋_GBK" w:cs="Times New Roman"/>
          <w:sz w:val="32"/>
          <w:szCs w:val="32"/>
          <w:highlight w:val="none"/>
          <w:lang w:eastAsia="zh-CN"/>
        </w:rPr>
        <w:t>行政诉讼2</w:t>
      </w:r>
      <w:r>
        <w:rPr>
          <w:rFonts w:hint="eastAsia" w:ascii="Times New Roman" w:hAnsi="Times New Roman"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lang w:eastAsia="zh-CN"/>
        </w:rPr>
        <w:t>件。</w:t>
      </w:r>
    </w:p>
    <w:p>
      <w:pPr>
        <w:numPr>
          <w:ilvl w:val="0"/>
          <w:numId w:val="0"/>
        </w:numPr>
        <w:spacing w:line="600" w:lineRule="exact"/>
        <w:ind w:firstLine="640" w:firstLineChars="200"/>
        <w:rPr>
          <w:rFonts w:hint="eastAsia" w:ascii="方正仿宋_GBK" w:hAnsi="方正仿宋_GBK" w:eastAsia="方正仿宋_GBK" w:cs="方正仿宋_GBK"/>
          <w:color w:val="000000"/>
          <w:sz w:val="32"/>
          <w:szCs w:val="32"/>
          <w:lang w:val="en-US" w:eastAsia="zh-CN"/>
        </w:rPr>
      </w:pPr>
      <w:r>
        <w:rPr>
          <w:rFonts w:hint="eastAsia" w:ascii="Times New Roman" w:hAnsi="Times New Roman" w:eastAsia="方正楷体_GBK" w:cs="方正楷体_GBK"/>
          <w:color w:val="000000"/>
          <w:sz w:val="32"/>
          <w:szCs w:val="32"/>
        </w:rPr>
        <w:t>（三）</w:t>
      </w:r>
      <w:r>
        <w:rPr>
          <w:rFonts w:hint="eastAsia" w:ascii="Times New Roman" w:hAnsi="Times New Roman" w:eastAsia="方正楷体_GBK" w:cs="方正楷体_GBK"/>
          <w:color w:val="000000"/>
          <w:sz w:val="32"/>
          <w:szCs w:val="32"/>
          <w:lang w:eastAsia="zh-CN"/>
        </w:rPr>
        <w:t>严格严谨推进</w:t>
      </w:r>
      <w:r>
        <w:rPr>
          <w:rFonts w:hint="eastAsia" w:ascii="Times New Roman" w:hAnsi="Times New Roman" w:eastAsia="方正楷体_GBK" w:cs="方正楷体_GBK"/>
          <w:color w:val="000000"/>
          <w:sz w:val="32"/>
          <w:szCs w:val="32"/>
        </w:rPr>
        <w:t>政府信息管理。</w:t>
      </w:r>
      <w:r>
        <w:rPr>
          <w:rFonts w:hint="eastAsia" w:ascii="Times New Roman" w:hAnsi="Times New Roman" w:eastAsia="方正仿宋_GBK"/>
          <w:sz w:val="32"/>
          <w:szCs w:val="32"/>
          <w:lang w:eastAsia="zh-CN"/>
        </w:rPr>
        <w:t>持续</w:t>
      </w:r>
      <w:r>
        <w:rPr>
          <w:rFonts w:hint="eastAsia" w:ascii="Times New Roman" w:hAnsi="Times New Roman" w:eastAsia="方正仿宋_GBK"/>
          <w:sz w:val="32"/>
          <w:szCs w:val="32"/>
        </w:rPr>
        <w:t>规范</w:t>
      </w:r>
      <w:r>
        <w:rPr>
          <w:rFonts w:hint="eastAsia" w:ascii="Times New Roman" w:hAnsi="Times New Roman" w:eastAsia="方正仿宋_GBK"/>
          <w:sz w:val="32"/>
          <w:szCs w:val="32"/>
          <w:lang w:eastAsia="zh-CN"/>
        </w:rPr>
        <w:t>市政府</w:t>
      </w:r>
      <w:r>
        <w:rPr>
          <w:rFonts w:hint="eastAsia" w:ascii="Times New Roman" w:hAnsi="Times New Roman" w:eastAsia="方正仿宋_GBK"/>
          <w:sz w:val="32"/>
          <w:szCs w:val="32"/>
        </w:rPr>
        <w:t>政策性文件公开属性认定、公开征求意见、政策解读、公开发布等工作流程，</w:t>
      </w:r>
      <w:r>
        <w:rPr>
          <w:rFonts w:hint="eastAsia" w:ascii="Times New Roman" w:hAnsi="Times New Roman" w:eastAsia="方正仿宋_GBK"/>
          <w:sz w:val="32"/>
          <w:szCs w:val="32"/>
          <w:lang w:eastAsia="zh-CN"/>
        </w:rPr>
        <w:t>对</w:t>
      </w:r>
      <w:r>
        <w:rPr>
          <w:rFonts w:hint="eastAsia" w:ascii="Times New Roman" w:hAnsi="Times New Roman" w:eastAsia="方正仿宋_GBK"/>
          <w:sz w:val="32"/>
          <w:szCs w:val="32"/>
        </w:rPr>
        <w:t>市政府重要政策文件做到</w:t>
      </w:r>
      <w:r>
        <w:rPr>
          <w:rFonts w:hint="eastAsia" w:ascii="Times New Roman" w:hAnsi="Times New Roman" w:eastAsia="方正仿宋_GBK"/>
          <w:sz w:val="32"/>
          <w:szCs w:val="32"/>
          <w:lang w:eastAsia="zh-CN"/>
        </w:rPr>
        <w:t>依法依规公开、</w:t>
      </w:r>
      <w:r>
        <w:rPr>
          <w:rFonts w:hint="eastAsia" w:ascii="Times New Roman" w:hAnsi="Times New Roman" w:eastAsia="方正仿宋_GBK"/>
          <w:sz w:val="32"/>
          <w:szCs w:val="32"/>
        </w:rPr>
        <w:t>应解读尽解读。建成全市统一、规范的政策文件库，实现全市政策性文件制定、公开、执行、修订、废止全生命周期管理，</w:t>
      </w:r>
      <w:r>
        <w:rPr>
          <w:rFonts w:hint="eastAsia" w:ascii="Times New Roman" w:hAnsi="Times New Roman" w:eastAsia="方正仿宋_GBK"/>
          <w:sz w:val="32"/>
          <w:szCs w:val="32"/>
          <w:lang w:eastAsia="zh-CN"/>
        </w:rPr>
        <w:t>集中公开</w:t>
      </w:r>
      <w:r>
        <w:rPr>
          <w:rFonts w:hint="eastAsia" w:ascii="Times New Roman" w:hAnsi="Times New Roman" w:eastAsia="方正仿宋_GBK"/>
          <w:sz w:val="32"/>
          <w:szCs w:val="32"/>
        </w:rPr>
        <w:t>全市现行有效市政府规章14</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rPr>
        <w:t>部，规范发布市、区县、乡镇</w:t>
      </w:r>
      <w:r>
        <w:rPr>
          <w:rFonts w:hint="eastAsia" w:ascii="Times New Roman" w:hAnsi="Times New Roman" w:eastAsia="方正仿宋_GBK"/>
          <w:sz w:val="32"/>
          <w:szCs w:val="32"/>
          <w:lang w:eastAsia="zh-CN"/>
        </w:rPr>
        <w:t>（街道）</w:t>
      </w:r>
      <w:r>
        <w:rPr>
          <w:rFonts w:hint="eastAsia" w:ascii="Times New Roman" w:hAnsi="Times New Roman" w:eastAsia="方正仿宋_GBK"/>
          <w:sz w:val="32"/>
          <w:szCs w:val="32"/>
        </w:rPr>
        <w:t>现行有效行政规范性文件7346件，有效解决长期存在的政策不好找、不便查问题</w:t>
      </w:r>
      <w:r>
        <w:rPr>
          <w:rFonts w:hint="eastAsia" w:ascii="方正仿宋_GBK" w:hAnsi="方正仿宋_GBK" w:eastAsia="方正仿宋_GBK" w:cs="方正仿宋_GBK"/>
          <w:color w:val="000000"/>
          <w:sz w:val="32"/>
          <w:szCs w:val="32"/>
          <w:lang w:eastAsia="zh-CN"/>
        </w:rPr>
        <w:t>，为</w:t>
      </w:r>
      <w:r>
        <w:rPr>
          <w:rFonts w:hint="eastAsia" w:ascii="方正仿宋_GBK" w:hAnsi="方正仿宋_GBK" w:eastAsia="方正仿宋_GBK" w:cs="方正仿宋_GBK"/>
          <w:color w:val="000000"/>
          <w:sz w:val="32"/>
          <w:szCs w:val="32"/>
          <w:lang w:val="en-US" w:eastAsia="zh-CN"/>
        </w:rPr>
        <w:t xml:space="preserve">进一步优化营商环境、提升政府治理能力提供强有力支撑。 </w:t>
      </w:r>
    </w:p>
    <w:p>
      <w:pPr>
        <w:numPr>
          <w:ilvl w:val="0"/>
          <w:numId w:val="0"/>
        </w:numPr>
        <w:spacing w:line="60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楷体_GBK" w:cs="方正楷体_GBK"/>
          <w:color w:val="000000"/>
          <w:sz w:val="32"/>
          <w:szCs w:val="32"/>
          <w:lang w:eastAsia="zh-CN"/>
        </w:rPr>
        <w:t>（四）有序有力</w:t>
      </w:r>
      <w:r>
        <w:rPr>
          <w:rFonts w:hint="eastAsia" w:ascii="Times New Roman" w:hAnsi="Times New Roman" w:eastAsia="方正楷体_GBK" w:cs="方正楷体_GBK"/>
          <w:color w:val="000000"/>
          <w:sz w:val="32"/>
          <w:szCs w:val="32"/>
          <w:lang w:val="en-US" w:eastAsia="zh-CN"/>
        </w:rPr>
        <w:t>建设</w:t>
      </w:r>
      <w:r>
        <w:rPr>
          <w:rFonts w:hint="eastAsia" w:ascii="Times New Roman" w:hAnsi="Times New Roman" w:eastAsia="方正楷体_GBK" w:cs="方正楷体_GBK"/>
          <w:color w:val="000000"/>
          <w:sz w:val="32"/>
          <w:szCs w:val="32"/>
        </w:rPr>
        <w:t>政务公开平台</w:t>
      </w:r>
      <w:r>
        <w:rPr>
          <w:rFonts w:hint="eastAsia" w:ascii="Times New Roman" w:hAnsi="Times New Roman" w:eastAsia="方正仿宋_GBK"/>
          <w:sz w:val="32"/>
          <w:szCs w:val="32"/>
          <w:lang w:eastAsia="zh-CN"/>
        </w:rPr>
        <w:t>。健全政府网站和政务新媒体栏目建设管理责任机制，不断强化市政府门户网站信息发布、政策解读、互动交流、关切回应功能，优化设置免申即享、助企纾困、“一件事一次办”等</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lang w:eastAsia="zh-CN"/>
        </w:rPr>
        <w:t>个专题专栏。持续强化政府网站与政务新媒体互联互通、融合发展，推进数据资源共通、共享、共用，完善搜索功能和个人用户空间建设，强化平台安全技术防护。优化</w:t>
      </w:r>
      <w:r>
        <w:rPr>
          <w:rFonts w:hint="eastAsia" w:ascii="Times New Roman" w:hAnsi="Times New Roman" w:eastAsia="方正仿宋_GBK"/>
          <w:sz w:val="32"/>
          <w:szCs w:val="32"/>
        </w:rPr>
        <w:t>重庆市政府“</w:t>
      </w:r>
      <w:r>
        <w:rPr>
          <w:rFonts w:hint="eastAsia" w:ascii="Times New Roman" w:hAnsi="Times New Roman" w:eastAsia="方正仿宋_GBK"/>
          <w:sz w:val="32"/>
          <w:szCs w:val="32"/>
          <w:lang w:eastAsia="zh-CN"/>
        </w:rPr>
        <w:t>两微一端</w:t>
      </w:r>
      <w:r>
        <w:rPr>
          <w:rFonts w:hint="eastAsia" w:ascii="Times New Roman" w:hAnsi="Times New Roman" w:eastAsia="方正仿宋_GBK"/>
          <w:sz w:val="32"/>
          <w:szCs w:val="32"/>
        </w:rPr>
        <w:t>”内容建设，积极发挥政务新媒体舆论引导作用</w:t>
      </w:r>
      <w:r>
        <w:rPr>
          <w:rFonts w:hint="eastAsia" w:ascii="Times New Roman" w:hAnsi="Times New Roman" w:eastAsia="方正仿宋_GBK" w:cs="方正仿宋_GBK"/>
          <w:color w:val="auto"/>
          <w:kern w:val="2"/>
          <w:sz w:val="32"/>
          <w:szCs w:val="32"/>
          <w:highlight w:val="none"/>
          <w:u w:val="none"/>
          <w:lang w:val="en-US" w:eastAsia="zh-CN" w:bidi="ar-SA"/>
        </w:rPr>
        <w:t>。</w:t>
      </w:r>
      <w:r>
        <w:rPr>
          <w:rFonts w:hint="eastAsia" w:ascii="Times New Roman" w:hAnsi="Times New Roman" w:eastAsia="方正仿宋_GBK"/>
          <w:sz w:val="32"/>
          <w:szCs w:val="32"/>
        </w:rPr>
        <w:t>同步发行《重庆市人民政府公报》纸质版、电子版，出刊2</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期，免费赠阅2</w:t>
      </w:r>
      <w:r>
        <w:rPr>
          <w:rFonts w:hint="eastAsia" w:ascii="Times New Roman" w:hAnsi="Times New Roman" w:eastAsia="方正仿宋_GBK"/>
          <w:sz w:val="32"/>
          <w:szCs w:val="32"/>
          <w:lang w:val="en-US" w:eastAsia="zh-CN"/>
        </w:rPr>
        <w:t>9.48</w:t>
      </w:r>
      <w:r>
        <w:rPr>
          <w:rFonts w:hint="eastAsia" w:ascii="Times New Roman" w:hAnsi="Times New Roman" w:eastAsia="方正仿宋_GBK"/>
          <w:sz w:val="32"/>
          <w:szCs w:val="32"/>
        </w:rPr>
        <w:t>万册。</w:t>
      </w:r>
    </w:p>
    <w:p>
      <w:pPr>
        <w:numPr>
          <w:ilvl w:val="-1"/>
          <w:numId w:val="0"/>
        </w:num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方正楷体_GBK"/>
          <w:color w:val="000000"/>
          <w:sz w:val="32"/>
          <w:szCs w:val="32"/>
        </w:rPr>
        <w:t>（五）</w:t>
      </w:r>
      <w:r>
        <w:rPr>
          <w:rFonts w:hint="eastAsia" w:ascii="Times New Roman" w:hAnsi="Times New Roman" w:eastAsia="方正楷体_GBK" w:cs="方正楷体_GBK"/>
          <w:color w:val="000000"/>
          <w:sz w:val="32"/>
          <w:szCs w:val="32"/>
          <w:lang w:val="en-US" w:eastAsia="zh-CN"/>
        </w:rPr>
        <w:t>尽职尽责强化</w:t>
      </w:r>
      <w:r>
        <w:rPr>
          <w:rFonts w:hint="eastAsia" w:ascii="Times New Roman" w:hAnsi="Times New Roman" w:eastAsia="方正楷体_GBK" w:cs="方正楷体_GBK"/>
          <w:color w:val="000000"/>
          <w:sz w:val="32"/>
          <w:szCs w:val="32"/>
        </w:rPr>
        <w:t>监督保障</w:t>
      </w:r>
      <w:r>
        <w:rPr>
          <w:rFonts w:hint="eastAsia" w:ascii="Times New Roman" w:hAnsi="Times New Roman" w:eastAsia="方正楷体_GBK" w:cs="方正楷体_GBK"/>
          <w:color w:val="000000"/>
          <w:sz w:val="32"/>
          <w:szCs w:val="32"/>
          <w:lang w:val="en-US" w:eastAsia="zh-CN"/>
        </w:rPr>
        <w:t>。</w:t>
      </w:r>
      <w:r>
        <w:rPr>
          <w:rFonts w:hint="eastAsia" w:ascii="Times New Roman" w:hAnsi="Times New Roman" w:eastAsia="方正仿宋_GBK"/>
          <w:sz w:val="32"/>
          <w:szCs w:val="32"/>
          <w:lang w:eastAsia="zh-CN"/>
        </w:rPr>
        <w:t>通过化整为零、线上培训、“一对一”辅导等方式，常态化开展政务公开业务培训，召开视频培训会50余次、现场培训会8次，进行“一对一”辅导40余次，制作202</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lang w:eastAsia="zh-CN"/>
        </w:rPr>
        <w:t>版政务公开培训标准讲义和标准化培训PPT，并主动提供给区县、市政府部门供其对新进同志进行再培训，持续提升全市政务公开队伍整体素质和能力水平</w:t>
      </w:r>
      <w:r>
        <w:rPr>
          <w:rFonts w:hint="eastAsia" w:ascii="Times New Roman" w:hAnsi="Times New Roman" w:eastAsia="方正仿宋_GBK" w:cs="Times New Roman"/>
          <w:color w:val="000000"/>
          <w:sz w:val="32"/>
          <w:szCs w:val="32"/>
          <w:lang w:val="en-US" w:eastAsia="zh-CN"/>
        </w:rPr>
        <w:t>。结合主题教育开展常态化调查研究，先后赴10余个区县开展日常调研40余次，研究解决基层存在的具体问题60余个。持续开展政务公开第三方评估，以评估促落实、促规范；持续</w:t>
      </w:r>
      <w:r>
        <w:rPr>
          <w:rFonts w:hint="eastAsia" w:ascii="Times New Roman" w:hAnsi="Times New Roman" w:eastAsia="方正仿宋_GBK"/>
          <w:kern w:val="2"/>
          <w:sz w:val="32"/>
          <w:szCs w:val="32"/>
          <w:lang w:eastAsia="zh-CN"/>
        </w:rPr>
        <w:t>开展政府网站和政务新媒体季度检查，</w:t>
      </w:r>
      <w:r>
        <w:rPr>
          <w:rFonts w:hint="eastAsia" w:ascii="Times New Roman" w:hAnsi="Times New Roman" w:eastAsia="方正仿宋_GBK"/>
          <w:sz w:val="32"/>
          <w:szCs w:val="32"/>
        </w:rPr>
        <w:t>印发季度检查通报4期</w:t>
      </w:r>
      <w:r>
        <w:rPr>
          <w:rFonts w:hint="eastAsia" w:ascii="Times New Roman" w:hAnsi="Times New Roman" w:eastAsia="方正仿宋_GBK"/>
          <w:sz w:val="32"/>
          <w:szCs w:val="32"/>
          <w:lang w:eastAsia="zh-CN"/>
        </w:rPr>
        <w:t>，出具检查报告</w:t>
      </w:r>
      <w:r>
        <w:rPr>
          <w:rFonts w:hint="eastAsia" w:ascii="Times New Roman" w:hAnsi="Times New Roman" w:eastAsia="方正仿宋_GBK"/>
          <w:sz w:val="32"/>
          <w:szCs w:val="32"/>
          <w:lang w:val="en-US" w:eastAsia="zh-CN"/>
        </w:rPr>
        <w:t>1000余份</w:t>
      </w:r>
      <w:r>
        <w:rPr>
          <w:rFonts w:hint="eastAsia" w:ascii="Times New Roman" w:hAnsi="Times New Roman" w:eastAsia="方正仿宋_GBK"/>
          <w:sz w:val="32"/>
          <w:szCs w:val="32"/>
          <w:lang w:eastAsia="zh-CN"/>
        </w:rPr>
        <w:t>。用好赛马比拼工作机制，</w:t>
      </w:r>
      <w:r>
        <w:rPr>
          <w:rFonts w:hint="eastAsia" w:ascii="Times New Roman" w:hAnsi="Times New Roman" w:eastAsia="方正仿宋_GBK"/>
          <w:sz w:val="32"/>
          <w:szCs w:val="32"/>
        </w:rPr>
        <w:t>把政务公开纳入区县综合考核和市政府部门党政机关党建统领工作绩效考核</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对工作不积极、不主动的单位坚持</w:t>
      </w:r>
      <w:r>
        <w:rPr>
          <w:rFonts w:hint="eastAsia" w:ascii="Times New Roman" w:hAnsi="Times New Roman" w:eastAsia="方正仿宋_GBK" w:cs="Times New Roman"/>
          <w:sz w:val="32"/>
          <w:szCs w:val="32"/>
        </w:rPr>
        <w:t>动真碰硬，先后20余次对工作推动不力的单位进行督促提醒。强化正向激励</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严格落实国</w:t>
      </w:r>
      <w:r>
        <w:rPr>
          <w:rFonts w:hint="eastAsia" w:ascii="Times New Roman" w:hAnsi="Times New Roman" w:eastAsia="方正仿宋_GBK" w:cs="Times New Roman"/>
          <w:sz w:val="32"/>
          <w:szCs w:val="32"/>
          <w:lang w:eastAsia="zh-CN"/>
        </w:rPr>
        <w:t>家</w:t>
      </w:r>
      <w:r>
        <w:rPr>
          <w:rFonts w:hint="eastAsia" w:ascii="Times New Roman" w:hAnsi="Times New Roman" w:eastAsia="方正仿宋_GBK" w:cs="Times New Roman"/>
          <w:sz w:val="32"/>
          <w:szCs w:val="32"/>
        </w:rPr>
        <w:t>有关文件要求，</w:t>
      </w:r>
      <w:r>
        <w:rPr>
          <w:rFonts w:hint="eastAsia" w:ascii="Times New Roman" w:hAnsi="Times New Roman" w:eastAsia="方正仿宋_GBK" w:cs="Times New Roman"/>
          <w:sz w:val="32"/>
          <w:szCs w:val="32"/>
          <w:lang w:eastAsia="zh-CN"/>
        </w:rPr>
        <w:t>积极推动</w:t>
      </w:r>
      <w:r>
        <w:rPr>
          <w:rFonts w:hint="eastAsia" w:ascii="Times New Roman" w:hAnsi="Times New Roman" w:eastAsia="方正仿宋_GBK" w:cs="Times New Roman"/>
          <w:sz w:val="32"/>
          <w:szCs w:val="32"/>
        </w:rPr>
        <w:t>把政务公开工作</w:t>
      </w:r>
      <w:r>
        <w:rPr>
          <w:rFonts w:hint="eastAsia" w:ascii="Times New Roman" w:hAnsi="Times New Roman" w:eastAsia="方正仿宋_GBK"/>
          <w:sz w:val="32"/>
          <w:szCs w:val="32"/>
          <w:lang w:eastAsia="zh-CN"/>
        </w:rPr>
        <w:t>列入表彰范围。全年收到社会公众对下级行政机关政府信息公开的投诉、举报</w:t>
      </w:r>
      <w:r>
        <w:rPr>
          <w:rFonts w:hint="eastAsia" w:ascii="Times New Roman" w:hAnsi="Times New Roman" w:eastAsia="方正仿宋_GBK"/>
          <w:sz w:val="32"/>
          <w:szCs w:val="32"/>
          <w:lang w:val="en-US" w:eastAsia="zh-CN"/>
        </w:rPr>
        <w:t>15</w:t>
      </w:r>
      <w:r>
        <w:rPr>
          <w:rFonts w:hint="eastAsia" w:ascii="Times New Roman" w:hAnsi="Times New Roman" w:eastAsia="方正仿宋_GBK"/>
          <w:sz w:val="32"/>
          <w:szCs w:val="32"/>
          <w:lang w:eastAsia="zh-CN"/>
        </w:rPr>
        <w:t>件，均严格按照程序办理并及时回复</w:t>
      </w:r>
      <w:r>
        <w:rPr>
          <w:rFonts w:hint="eastAsia"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二、主动公开政府信息情况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5"/>
        <w:gridCol w:w="2435"/>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信息内容</w:t>
            </w:r>
          </w:p>
        </w:tc>
        <w:tc>
          <w:tcPr>
            <w:tcW w:w="2435" w:type="dxa"/>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本年制发件数</w:t>
            </w:r>
          </w:p>
        </w:tc>
        <w:tc>
          <w:tcPr>
            <w:tcW w:w="2435" w:type="dxa"/>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本年废止件数</w:t>
            </w:r>
          </w:p>
        </w:tc>
        <w:tc>
          <w:tcPr>
            <w:tcW w:w="2435" w:type="dxa"/>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left"/>
              <w:rPr>
                <w:rFonts w:ascii="Times New Roman" w:hAnsi="Times New Roman"/>
                <w:sz w:val="20"/>
                <w:szCs w:val="20"/>
              </w:rPr>
            </w:pPr>
            <w:r>
              <w:rPr>
                <w:rFonts w:hint="eastAsia" w:ascii="Times New Roman" w:hAnsi="Times New Roman"/>
                <w:sz w:val="20"/>
                <w:szCs w:val="20"/>
              </w:rPr>
              <w:t>规章</w:t>
            </w:r>
          </w:p>
        </w:tc>
        <w:tc>
          <w:tcPr>
            <w:tcW w:w="2435" w:type="dxa"/>
            <w:tcMar>
              <w:left w:w="57" w:type="dxa"/>
              <w:right w:w="57" w:type="dxa"/>
            </w:tcMar>
            <w:vAlign w:val="center"/>
          </w:tcPr>
          <w:p>
            <w:pPr>
              <w:widowControl/>
              <w:jc w:val="center"/>
              <w:rPr>
                <w:rFonts w:hint="default" w:ascii="Times New Roman" w:hAnsi="Times New Roman" w:eastAsia="宋体"/>
                <w:sz w:val="20"/>
                <w:szCs w:val="20"/>
                <w:highlight w:val="none"/>
                <w:lang w:val="en-US" w:eastAsia="zh-CN"/>
              </w:rPr>
            </w:pPr>
            <w:r>
              <w:rPr>
                <w:rFonts w:hint="eastAsia" w:ascii="Times New Roman" w:hAnsi="Times New Roman" w:eastAsia="宋体"/>
                <w:sz w:val="20"/>
                <w:szCs w:val="20"/>
                <w:highlight w:val="none"/>
                <w:lang w:val="en-US" w:eastAsia="zh-CN"/>
              </w:rPr>
              <w:t>13</w:t>
            </w:r>
          </w:p>
        </w:tc>
        <w:tc>
          <w:tcPr>
            <w:tcW w:w="2435" w:type="dxa"/>
            <w:tcMar>
              <w:left w:w="57" w:type="dxa"/>
              <w:right w:w="57" w:type="dxa"/>
            </w:tcMar>
            <w:vAlign w:val="center"/>
          </w:tcPr>
          <w:p>
            <w:pPr>
              <w:widowControl/>
              <w:jc w:val="center"/>
              <w:rPr>
                <w:rFonts w:hint="default" w:ascii="Times New Roman" w:hAnsi="Times New Roman" w:eastAsia="宋体"/>
                <w:sz w:val="20"/>
                <w:szCs w:val="20"/>
                <w:highlight w:val="none"/>
                <w:lang w:val="en-US" w:eastAsia="zh-CN"/>
              </w:rPr>
            </w:pPr>
            <w:r>
              <w:rPr>
                <w:rFonts w:hint="eastAsia" w:ascii="Times New Roman" w:hAnsi="Times New Roman" w:eastAsia="宋体"/>
                <w:sz w:val="20"/>
                <w:szCs w:val="20"/>
                <w:highlight w:val="none"/>
                <w:lang w:val="en-US" w:eastAsia="zh-CN"/>
              </w:rPr>
              <w:t>11</w:t>
            </w:r>
          </w:p>
        </w:tc>
        <w:tc>
          <w:tcPr>
            <w:tcW w:w="2435" w:type="dxa"/>
            <w:tcMar>
              <w:left w:w="57" w:type="dxa"/>
              <w:right w:w="57" w:type="dxa"/>
            </w:tcMar>
            <w:vAlign w:val="center"/>
          </w:tcPr>
          <w:p>
            <w:pPr>
              <w:widowControl/>
              <w:jc w:val="center"/>
              <w:rPr>
                <w:rFonts w:hint="eastAsia" w:ascii="Times New Roman" w:hAnsi="Times New Roman" w:eastAsia="宋体"/>
                <w:sz w:val="20"/>
                <w:szCs w:val="20"/>
                <w:highlight w:val="none"/>
                <w:lang w:val="en-US" w:eastAsia="zh-CN"/>
              </w:rPr>
            </w:pPr>
            <w:r>
              <w:rPr>
                <w:rFonts w:hint="default" w:ascii="Times New Roman" w:hAnsi="Times New Roman" w:eastAsia="宋体"/>
                <w:sz w:val="20"/>
                <w:szCs w:val="20"/>
                <w:highlight w:val="none"/>
                <w:lang w:val="en-US" w:eastAsia="zh-CN"/>
              </w:rPr>
              <w:t>14</w:t>
            </w:r>
            <w:r>
              <w:rPr>
                <w:rFonts w:hint="eastAsia" w:ascii="Times New Roman" w:hAnsi="Times New Roman" w:eastAsia="宋体"/>
                <w:sz w:val="20"/>
                <w:szCs w:val="20"/>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435" w:type="dxa"/>
            <w:shd w:val="clear" w:color="auto" w:fill="FFFFFF"/>
            <w:tcMar>
              <w:left w:w="57" w:type="dxa"/>
              <w:right w:w="57" w:type="dxa"/>
            </w:tcMar>
            <w:vAlign w:val="center"/>
          </w:tcPr>
          <w:p>
            <w:pPr>
              <w:widowControl/>
              <w:jc w:val="left"/>
              <w:rPr>
                <w:rFonts w:ascii="Times New Roman" w:hAnsi="Times New Roman"/>
                <w:sz w:val="20"/>
                <w:szCs w:val="20"/>
              </w:rPr>
            </w:pPr>
            <w:r>
              <w:rPr>
                <w:rFonts w:hint="eastAsia" w:ascii="Times New Roman" w:hAnsi="Times New Roman" w:cs="宋体"/>
                <w:kern w:val="0"/>
                <w:sz w:val="20"/>
                <w:szCs w:val="20"/>
                <w:lang w:bidi="ar"/>
              </w:rPr>
              <w:t>行政规范性文件</w:t>
            </w:r>
          </w:p>
        </w:tc>
        <w:tc>
          <w:tcPr>
            <w:tcW w:w="2435" w:type="dxa"/>
            <w:tcMar>
              <w:left w:w="57" w:type="dxa"/>
              <w:right w:w="57" w:type="dxa"/>
            </w:tcMar>
            <w:vAlign w:val="center"/>
          </w:tcPr>
          <w:p>
            <w:pPr>
              <w:widowControl/>
              <w:jc w:val="center"/>
              <w:rPr>
                <w:rFonts w:hint="default" w:ascii="Times New Roman" w:hAnsi="Times New Roman" w:eastAsia="宋体"/>
                <w:sz w:val="20"/>
                <w:szCs w:val="20"/>
                <w:highlight w:val="none"/>
                <w:lang w:val="en-US" w:eastAsia="zh-CN"/>
              </w:rPr>
            </w:pPr>
            <w:r>
              <w:rPr>
                <w:rFonts w:hint="eastAsia" w:ascii="Times New Roman" w:hAnsi="Times New Roman"/>
                <w:sz w:val="20"/>
                <w:szCs w:val="20"/>
                <w:highlight w:val="none"/>
                <w:lang w:val="en-US" w:eastAsia="zh-CN"/>
              </w:rPr>
              <w:t>25</w:t>
            </w:r>
          </w:p>
        </w:tc>
        <w:tc>
          <w:tcPr>
            <w:tcW w:w="2435" w:type="dxa"/>
            <w:tcMar>
              <w:left w:w="57" w:type="dxa"/>
              <w:right w:w="57" w:type="dxa"/>
            </w:tcMar>
            <w:vAlign w:val="center"/>
          </w:tcPr>
          <w:p>
            <w:pPr>
              <w:widowControl/>
              <w:jc w:val="center"/>
              <w:rPr>
                <w:rFonts w:hint="default" w:ascii="Times New Roman" w:hAnsi="Times New Roman" w:eastAsia="宋体"/>
                <w:sz w:val="20"/>
                <w:szCs w:val="20"/>
                <w:highlight w:val="none"/>
                <w:lang w:val="en-US" w:eastAsia="zh-CN"/>
              </w:rPr>
            </w:pPr>
            <w:r>
              <w:rPr>
                <w:rFonts w:hint="eastAsia" w:ascii="Times New Roman" w:hAnsi="Times New Roman"/>
                <w:sz w:val="20"/>
                <w:szCs w:val="20"/>
                <w:highlight w:val="none"/>
                <w:lang w:val="en-US" w:eastAsia="zh-CN"/>
              </w:rPr>
              <w:t>252</w:t>
            </w:r>
          </w:p>
        </w:tc>
        <w:tc>
          <w:tcPr>
            <w:tcW w:w="2435" w:type="dxa"/>
            <w:tcMar>
              <w:left w:w="57" w:type="dxa"/>
              <w:right w:w="57" w:type="dxa"/>
            </w:tcMar>
            <w:vAlign w:val="center"/>
          </w:tcPr>
          <w:p>
            <w:pPr>
              <w:widowControl/>
              <w:jc w:val="center"/>
              <w:rPr>
                <w:rFonts w:hint="default" w:ascii="Times New Roman" w:hAnsi="Times New Roman" w:eastAsia="宋体" w:cs="宋体"/>
                <w:color w:val="FF0000"/>
                <w:kern w:val="0"/>
                <w:sz w:val="20"/>
                <w:szCs w:val="20"/>
                <w:highlight w:val="none"/>
                <w:lang w:val="en-US" w:eastAsia="zh-CN" w:bidi="ar"/>
              </w:rPr>
            </w:pPr>
            <w:r>
              <w:rPr>
                <w:rFonts w:hint="eastAsia" w:ascii="Times New Roman" w:hAnsi="Times New Roman" w:cs="Calibri"/>
                <w:kern w:val="0"/>
                <w:sz w:val="20"/>
                <w:szCs w:val="20"/>
                <w:highlight w:val="none"/>
                <w:lang w:val="en-US" w:eastAsia="zh-CN" w:bidi="ar"/>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740" w:type="dxa"/>
            <w:gridSpan w:val="4"/>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信息内容</w:t>
            </w:r>
          </w:p>
        </w:tc>
        <w:tc>
          <w:tcPr>
            <w:tcW w:w="7305" w:type="dxa"/>
            <w:gridSpan w:val="3"/>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left"/>
              <w:rPr>
                <w:rFonts w:ascii="Times New Roman" w:hAnsi="Times New Roman"/>
                <w:sz w:val="20"/>
                <w:szCs w:val="20"/>
              </w:rPr>
            </w:pPr>
            <w:r>
              <w:rPr>
                <w:rFonts w:hint="eastAsia" w:ascii="Times New Roman" w:hAnsi="Times New Roman" w:cs="宋体"/>
                <w:kern w:val="0"/>
                <w:sz w:val="20"/>
                <w:szCs w:val="20"/>
                <w:lang w:bidi="ar"/>
              </w:rPr>
              <w:t>行政许可</w:t>
            </w:r>
          </w:p>
        </w:tc>
        <w:tc>
          <w:tcPr>
            <w:tcW w:w="7305" w:type="dxa"/>
            <w:gridSpan w:val="3"/>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Calibri"/>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信息内容</w:t>
            </w:r>
          </w:p>
        </w:tc>
        <w:tc>
          <w:tcPr>
            <w:tcW w:w="7305" w:type="dxa"/>
            <w:gridSpan w:val="3"/>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left"/>
              <w:rPr>
                <w:rFonts w:ascii="Times New Roman" w:hAnsi="Times New Roman"/>
                <w:sz w:val="20"/>
                <w:szCs w:val="20"/>
              </w:rPr>
            </w:pPr>
            <w:r>
              <w:rPr>
                <w:rFonts w:hint="eastAsia" w:ascii="Times New Roman" w:hAnsi="Times New Roman" w:cs="宋体"/>
                <w:kern w:val="0"/>
                <w:sz w:val="20"/>
                <w:szCs w:val="20"/>
                <w:lang w:bidi="ar"/>
              </w:rPr>
              <w:t>行政处罚</w:t>
            </w:r>
          </w:p>
        </w:tc>
        <w:tc>
          <w:tcPr>
            <w:tcW w:w="7305" w:type="dxa"/>
            <w:gridSpan w:val="3"/>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left"/>
              <w:rPr>
                <w:rFonts w:ascii="Times New Roman" w:hAnsi="Times New Roman"/>
                <w:sz w:val="20"/>
                <w:szCs w:val="20"/>
              </w:rPr>
            </w:pPr>
            <w:r>
              <w:rPr>
                <w:rFonts w:hint="eastAsia" w:ascii="Times New Roman" w:hAnsi="Times New Roman" w:cs="宋体"/>
                <w:kern w:val="0"/>
                <w:sz w:val="20"/>
                <w:szCs w:val="20"/>
                <w:lang w:bidi="ar"/>
              </w:rPr>
              <w:t>行政强制</w:t>
            </w:r>
          </w:p>
        </w:tc>
        <w:tc>
          <w:tcPr>
            <w:tcW w:w="7305" w:type="dxa"/>
            <w:gridSpan w:val="3"/>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信息内容</w:t>
            </w:r>
          </w:p>
        </w:tc>
        <w:tc>
          <w:tcPr>
            <w:tcW w:w="7305" w:type="dxa"/>
            <w:gridSpan w:val="3"/>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行政事业性收费</w:t>
            </w:r>
          </w:p>
        </w:tc>
        <w:tc>
          <w:tcPr>
            <w:tcW w:w="7305" w:type="dxa"/>
            <w:gridSpan w:val="3"/>
            <w:shd w:val="clear" w:color="auto" w:fill="FFFFFF"/>
            <w:tcMar>
              <w:left w:w="57" w:type="dxa"/>
              <w:right w:w="57" w:type="dxa"/>
            </w:tcMar>
            <w:vAlign w:val="center"/>
          </w:tcPr>
          <w:p>
            <w:pPr>
              <w:jc w:val="center"/>
              <w:rPr>
                <w:rFonts w:ascii="Times New Roman" w:hAnsi="Times New Roman"/>
                <w:sz w:val="20"/>
                <w:szCs w:val="20"/>
              </w:rPr>
            </w:pPr>
            <w:r>
              <w:rPr>
                <w:rFonts w:ascii="Times New Roman" w:hAnsi="Times New Roman" w:cs="宋体"/>
                <w:kern w:val="0"/>
                <w:sz w:val="20"/>
                <w:szCs w:val="20"/>
                <w:lang w:bidi="ar"/>
              </w:rPr>
              <w:t>0</w:t>
            </w:r>
          </w:p>
        </w:tc>
      </w:tr>
    </w:tbl>
    <w:p>
      <w:pPr>
        <w:spacing w:line="600" w:lineRule="exact"/>
        <w:ind w:firstLine="640" w:firstLineChars="20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三、收到和处理政府信息公开申请情况</w:t>
      </w:r>
    </w:p>
    <w:tbl>
      <w:tblPr>
        <w:tblStyle w:val="14"/>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1"/>
        <w:gridCol w:w="938"/>
        <w:gridCol w:w="3167"/>
        <w:gridCol w:w="777"/>
        <w:gridCol w:w="686"/>
        <w:gridCol w:w="681"/>
        <w:gridCol w:w="681"/>
        <w:gridCol w:w="681"/>
        <w:gridCol w:w="681"/>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66" w:type="dxa"/>
            <w:gridSpan w:val="3"/>
            <w:vMerge w:val="restart"/>
            <w:tcMar>
              <w:left w:w="108" w:type="dxa"/>
              <w:right w:w="108" w:type="dxa"/>
            </w:tcMar>
            <w:vAlign w:val="center"/>
          </w:tcPr>
          <w:p>
            <w:pPr>
              <w:widowControl/>
              <w:jc w:val="left"/>
              <w:rPr>
                <w:rFonts w:ascii="Times New Roman" w:hAnsi="Times New Roman"/>
                <w:color w:val="000000"/>
                <w:sz w:val="20"/>
                <w:szCs w:val="20"/>
              </w:rPr>
            </w:pPr>
            <w:r>
              <w:rPr>
                <w:rFonts w:ascii="Times New Roman" w:hAnsi="Times New Roman" w:eastAsia="楷体" w:cs="楷体"/>
                <w:color w:val="000000"/>
                <w:kern w:val="0"/>
                <w:sz w:val="20"/>
                <w:szCs w:val="20"/>
                <w:lang w:bidi="ar"/>
              </w:rPr>
              <w:t>（本列数据的勾稽关系为：第一项加第二项之和，等于第三项加第四项之和）</w:t>
            </w:r>
          </w:p>
        </w:tc>
        <w:tc>
          <w:tcPr>
            <w:tcW w:w="4882" w:type="dxa"/>
            <w:gridSpan w:val="7"/>
            <w:tcMar>
              <w:left w:w="57" w:type="dxa"/>
              <w:right w:w="57"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66" w:type="dxa"/>
            <w:gridSpan w:val="3"/>
            <w:vMerge w:val="continue"/>
            <w:tcMar>
              <w:left w:w="108" w:type="dxa"/>
              <w:right w:w="108" w:type="dxa"/>
            </w:tcMar>
            <w:vAlign w:val="center"/>
          </w:tcPr>
          <w:p>
            <w:pPr>
              <w:rPr>
                <w:rFonts w:ascii="Times New Roman" w:hAnsi="Times New Roman"/>
                <w:color w:val="000000"/>
                <w:sz w:val="20"/>
                <w:szCs w:val="20"/>
              </w:rPr>
            </w:pPr>
          </w:p>
        </w:tc>
        <w:tc>
          <w:tcPr>
            <w:tcW w:w="777" w:type="dxa"/>
            <w:vMerge w:val="restart"/>
            <w:tcMar>
              <w:left w:w="57" w:type="dxa"/>
              <w:right w:w="57"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自然人</w:t>
            </w:r>
          </w:p>
        </w:tc>
        <w:tc>
          <w:tcPr>
            <w:tcW w:w="3410" w:type="dxa"/>
            <w:gridSpan w:val="5"/>
            <w:tcMar>
              <w:left w:w="57" w:type="dxa"/>
              <w:right w:w="57"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法人或其他组织</w:t>
            </w:r>
          </w:p>
        </w:tc>
        <w:tc>
          <w:tcPr>
            <w:tcW w:w="695" w:type="dxa"/>
            <w:vMerge w:val="restart"/>
            <w:tcMar>
              <w:left w:w="57" w:type="dxa"/>
              <w:right w:w="57"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66" w:type="dxa"/>
            <w:gridSpan w:val="3"/>
            <w:vMerge w:val="continue"/>
            <w:tcMar>
              <w:left w:w="108" w:type="dxa"/>
              <w:right w:w="108" w:type="dxa"/>
            </w:tcMar>
            <w:vAlign w:val="center"/>
          </w:tcPr>
          <w:p>
            <w:pPr>
              <w:rPr>
                <w:rFonts w:ascii="Times New Roman" w:hAnsi="Times New Roman"/>
                <w:color w:val="000000"/>
                <w:sz w:val="20"/>
                <w:szCs w:val="20"/>
              </w:rPr>
            </w:pPr>
          </w:p>
        </w:tc>
        <w:tc>
          <w:tcPr>
            <w:tcW w:w="777" w:type="dxa"/>
            <w:vMerge w:val="continue"/>
            <w:tcMar>
              <w:left w:w="57" w:type="dxa"/>
              <w:right w:w="57" w:type="dxa"/>
            </w:tcMar>
            <w:vAlign w:val="center"/>
          </w:tcPr>
          <w:p>
            <w:pPr>
              <w:rPr>
                <w:rFonts w:ascii="Times New Roman" w:hAnsi="Times New Roman"/>
                <w:color w:val="000000"/>
                <w:sz w:val="20"/>
                <w:szCs w:val="20"/>
              </w:rPr>
            </w:pP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商业</w:t>
            </w:r>
          </w:p>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企业</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科研</w:t>
            </w:r>
          </w:p>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机构</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社会公益组织</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法律服务机构</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其他</w:t>
            </w:r>
          </w:p>
        </w:tc>
        <w:tc>
          <w:tcPr>
            <w:tcW w:w="695" w:type="dxa"/>
            <w:vMerge w:val="continue"/>
            <w:tcMar>
              <w:left w:w="57" w:type="dxa"/>
              <w:right w:w="57" w:type="dxa"/>
            </w:tcMar>
            <w:vAlign w:val="center"/>
          </w:tcPr>
          <w:p>
            <w:pPr>
              <w:rPr>
                <w:rFonts w:ascii="Times New Roman" w:hAnsi="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66" w:type="dxa"/>
            <w:gridSpan w:val="3"/>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一、本年新收政府信息公开申请数量</w:t>
            </w:r>
          </w:p>
        </w:tc>
        <w:tc>
          <w:tcPr>
            <w:tcW w:w="777" w:type="dxa"/>
            <w:tcMar>
              <w:left w:w="57" w:type="dxa"/>
              <w:right w:w="57" w:type="dxa"/>
            </w:tcMa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607</w:t>
            </w:r>
          </w:p>
        </w:tc>
        <w:tc>
          <w:tcPr>
            <w:tcW w:w="686" w:type="dxa"/>
            <w:tcMar>
              <w:left w:w="57" w:type="dxa"/>
              <w:right w:w="57" w:type="dxa"/>
            </w:tcMa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43</w:t>
            </w:r>
          </w:p>
        </w:tc>
        <w:tc>
          <w:tcPr>
            <w:tcW w:w="681" w:type="dxa"/>
            <w:tcMar>
              <w:left w:w="57" w:type="dxa"/>
              <w:right w:w="57" w:type="dxa"/>
            </w:tcMa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3</w:t>
            </w:r>
          </w:p>
        </w:tc>
        <w:tc>
          <w:tcPr>
            <w:tcW w:w="681" w:type="dxa"/>
            <w:tcMar>
              <w:left w:w="57" w:type="dxa"/>
              <w:right w:w="57" w:type="dxa"/>
            </w:tcMa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66" w:type="dxa"/>
            <w:gridSpan w:val="3"/>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二、上年结转政府信息公开申请数量</w:t>
            </w:r>
          </w:p>
        </w:tc>
        <w:tc>
          <w:tcPr>
            <w:tcW w:w="777" w:type="dxa"/>
            <w:tcMar>
              <w:left w:w="57" w:type="dxa"/>
              <w:right w:w="57" w:type="dxa"/>
            </w:tcMa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56</w:t>
            </w:r>
          </w:p>
        </w:tc>
        <w:tc>
          <w:tcPr>
            <w:tcW w:w="686" w:type="dxa"/>
            <w:tcMar>
              <w:left w:w="57" w:type="dxa"/>
              <w:right w:w="57" w:type="dxa"/>
            </w:tcMa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1</w:t>
            </w:r>
          </w:p>
        </w:tc>
        <w:tc>
          <w:tcPr>
            <w:tcW w:w="681" w:type="dxa"/>
            <w:tcMar>
              <w:left w:w="57" w:type="dxa"/>
              <w:right w:w="57" w:type="dxa"/>
            </w:tcMar>
          </w:tcPr>
          <w:p>
            <w:pPr>
              <w:widowControl/>
              <w:jc w:val="center"/>
              <w:rPr>
                <w:rFonts w:hint="eastAsia" w:ascii="Times New Roman" w:hAnsi="Times New Roman"/>
                <w:color w:val="000000"/>
                <w:kern w:val="0"/>
                <w:sz w:val="20"/>
                <w:szCs w:val="20"/>
                <w:lang w:val="en"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tcPr>
          <w:p>
            <w:pPr>
              <w:widowControl/>
              <w:jc w:val="center"/>
              <w:rPr>
                <w:rFonts w:hint="eastAsia" w:ascii="Times New Roman" w:hAnsi="Times New Roman"/>
                <w:color w:val="000000"/>
                <w:kern w:val="0"/>
                <w:sz w:val="20"/>
                <w:szCs w:val="20"/>
                <w:lang w:val="en"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tcPr>
          <w:p>
            <w:pPr>
              <w:widowControl/>
              <w:jc w:val="center"/>
              <w:rPr>
                <w:rFonts w:hint="eastAsia" w:ascii="Times New Roman" w:hAnsi="Times New Roman"/>
                <w:color w:val="000000"/>
                <w:kern w:val="0"/>
                <w:sz w:val="20"/>
                <w:szCs w:val="20"/>
                <w:lang w:val="en"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tcPr>
          <w:p>
            <w:pPr>
              <w:widowControl/>
              <w:jc w:val="center"/>
              <w:rPr>
                <w:rFonts w:hint="eastAsia" w:ascii="Times New Roman" w:hAnsi="Times New Roman"/>
                <w:color w:val="000000"/>
                <w:kern w:val="0"/>
                <w:sz w:val="20"/>
                <w:szCs w:val="20"/>
                <w:lang w:val="en"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1" w:type="dxa"/>
            <w:vMerge w:val="restart"/>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三、本年度办理结果</w:t>
            </w:r>
          </w:p>
        </w:tc>
        <w:tc>
          <w:tcPr>
            <w:tcW w:w="4105" w:type="dxa"/>
            <w:gridSpan w:val="2"/>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（一）予以公开</w:t>
            </w:r>
          </w:p>
        </w:tc>
        <w:tc>
          <w:tcPr>
            <w:tcW w:w="777" w:type="dxa"/>
            <w:tcMar>
              <w:left w:w="57" w:type="dxa"/>
              <w:right w:w="57" w:type="dxa"/>
            </w:tcMar>
            <w:vAlign w:val="center"/>
          </w:tcPr>
          <w:p>
            <w:pPr>
              <w:widowControl/>
              <w:jc w:val="center"/>
              <w:rPr>
                <w:rFonts w:hint="default"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197</w:t>
            </w:r>
          </w:p>
        </w:tc>
        <w:tc>
          <w:tcPr>
            <w:tcW w:w="686" w:type="dxa"/>
            <w:tcMar>
              <w:left w:w="57" w:type="dxa"/>
              <w:right w:w="57" w:type="dxa"/>
            </w:tcMar>
            <w:vAlign w:val="center"/>
          </w:tcPr>
          <w:p>
            <w:pPr>
              <w:widowControl/>
              <w:jc w:val="center"/>
              <w:rPr>
                <w:rFonts w:hint="default"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18</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 w:eastAsia="zh-CN" w:bidi="ar"/>
              </w:rPr>
            </w:pPr>
            <w:r>
              <w:rPr>
                <w:rFonts w:hint="eastAsia" w:ascii="Times New Roman" w:hAnsi="Times New Roman"/>
                <w:color w:val="000000"/>
                <w:kern w:val="0"/>
                <w:sz w:val="20"/>
                <w:szCs w:val="20"/>
                <w:lang w:val="en-US" w:eastAsia="zh-CN" w:bidi="ar"/>
              </w:rPr>
              <w:t>2</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eastAsia" w:ascii="Times New Roman" w:hAnsi="Times New Roman"/>
                <w:color w:val="000000"/>
                <w:kern w:val="0"/>
                <w:sz w:val="20"/>
                <w:szCs w:val="20"/>
                <w:lang w:val="en" w:eastAsia="zh-CN" w:bidi="ar"/>
              </w:rPr>
            </w:pPr>
            <w:r>
              <w:rPr>
                <w:rFonts w:hint="eastAsia" w:ascii="Times New Roman" w:hAnsi="Times New Roman"/>
                <w:color w:val="000000"/>
                <w:kern w:val="0"/>
                <w:sz w:val="20"/>
                <w:szCs w:val="20"/>
                <w:lang w:val="en-US" w:eastAsia="zh-CN" w:bidi="ar"/>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4105" w:type="dxa"/>
            <w:gridSpan w:val="2"/>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（二）部分公开</w:t>
            </w:r>
            <w:r>
              <w:rPr>
                <w:rFonts w:ascii="Times New Roman" w:hAnsi="Times New Roman" w:eastAsia="楷体" w:cs="楷体"/>
                <w:color w:val="000000"/>
                <w:kern w:val="0"/>
                <w:sz w:val="20"/>
                <w:szCs w:val="20"/>
                <w:lang w:bidi="ar"/>
              </w:rPr>
              <w:t>（区分处理的，只计这一情形，不计其他情形）</w:t>
            </w:r>
          </w:p>
        </w:tc>
        <w:tc>
          <w:tcPr>
            <w:tcW w:w="777"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6"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restart"/>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（三）不予公开</w:t>
            </w: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1.属于国家秘密</w:t>
            </w:r>
          </w:p>
        </w:tc>
        <w:tc>
          <w:tcPr>
            <w:tcW w:w="777"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2</w:t>
            </w:r>
          </w:p>
        </w:tc>
        <w:tc>
          <w:tcPr>
            <w:tcW w:w="686"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2.其他法律行政法规禁止公开</w:t>
            </w:r>
          </w:p>
        </w:tc>
        <w:tc>
          <w:tcPr>
            <w:tcW w:w="777"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6"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3.危及“三安全一稳定”</w:t>
            </w:r>
          </w:p>
        </w:tc>
        <w:tc>
          <w:tcPr>
            <w:tcW w:w="777"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4</w:t>
            </w:r>
          </w:p>
        </w:tc>
        <w:tc>
          <w:tcPr>
            <w:tcW w:w="686"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4.保护第三方合法权益</w:t>
            </w:r>
          </w:p>
        </w:tc>
        <w:tc>
          <w:tcPr>
            <w:tcW w:w="777"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6"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5.属于三类内部事务信息</w:t>
            </w:r>
          </w:p>
        </w:tc>
        <w:tc>
          <w:tcPr>
            <w:tcW w:w="777"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1</w:t>
            </w:r>
          </w:p>
        </w:tc>
        <w:tc>
          <w:tcPr>
            <w:tcW w:w="686"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eastAsia" w:ascii="Times New Roman" w:hAnsi="Times New Roman"/>
                <w:color w:val="000000"/>
                <w:kern w:val="0"/>
                <w:sz w:val="20"/>
                <w:szCs w:val="20"/>
                <w:lang w:val="en" w:eastAsia="zh-CN" w:bidi="ar"/>
              </w:rPr>
            </w:pPr>
            <w:r>
              <w:rPr>
                <w:rFonts w:hint="eastAsia" w:ascii="Times New Roman" w:hAnsi="Times New Roman"/>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6.属于四类过程性信息</w:t>
            </w:r>
          </w:p>
        </w:tc>
        <w:tc>
          <w:tcPr>
            <w:tcW w:w="777"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1</w:t>
            </w:r>
          </w:p>
        </w:tc>
        <w:tc>
          <w:tcPr>
            <w:tcW w:w="686"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7.属于行政执法案卷</w:t>
            </w:r>
          </w:p>
        </w:tc>
        <w:tc>
          <w:tcPr>
            <w:tcW w:w="777"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6"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8.属于行政查询事项</w:t>
            </w:r>
          </w:p>
        </w:tc>
        <w:tc>
          <w:tcPr>
            <w:tcW w:w="777"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9</w:t>
            </w:r>
          </w:p>
        </w:tc>
        <w:tc>
          <w:tcPr>
            <w:tcW w:w="686"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1</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default"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restart"/>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（四）无法提供</w:t>
            </w: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1.本机关不掌握相关政府信息</w:t>
            </w:r>
          </w:p>
        </w:tc>
        <w:tc>
          <w:tcPr>
            <w:tcW w:w="777" w:type="dxa"/>
            <w:tcMar>
              <w:left w:w="57" w:type="dxa"/>
              <w:right w:w="57" w:type="dxa"/>
            </w:tcMar>
            <w:vAlign w:val="center"/>
          </w:tcPr>
          <w:p>
            <w:pPr>
              <w:widowControl/>
              <w:jc w:val="center"/>
              <w:rPr>
                <w:rFonts w:hint="default"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368</w:t>
            </w:r>
          </w:p>
        </w:tc>
        <w:tc>
          <w:tcPr>
            <w:tcW w:w="686" w:type="dxa"/>
            <w:tcMar>
              <w:left w:w="57" w:type="dxa"/>
              <w:right w:w="57" w:type="dxa"/>
            </w:tcMar>
            <w:vAlign w:val="center"/>
          </w:tcPr>
          <w:p>
            <w:pPr>
              <w:widowControl/>
              <w:jc w:val="center"/>
              <w:rPr>
                <w:rFonts w:hint="default"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22</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default"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2.没有现成信息需要另行制作</w:t>
            </w:r>
          </w:p>
        </w:tc>
        <w:tc>
          <w:tcPr>
            <w:tcW w:w="777"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6"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3.补正后申请内容仍不明确</w:t>
            </w:r>
          </w:p>
        </w:tc>
        <w:tc>
          <w:tcPr>
            <w:tcW w:w="777"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2</w:t>
            </w:r>
          </w:p>
        </w:tc>
        <w:tc>
          <w:tcPr>
            <w:tcW w:w="686"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restart"/>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（五）不予处理</w:t>
            </w: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1.信访举报投诉类申请</w:t>
            </w:r>
          </w:p>
        </w:tc>
        <w:tc>
          <w:tcPr>
            <w:tcW w:w="777"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6"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2.重复申请</w:t>
            </w:r>
          </w:p>
        </w:tc>
        <w:tc>
          <w:tcPr>
            <w:tcW w:w="777"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4</w:t>
            </w:r>
          </w:p>
        </w:tc>
        <w:tc>
          <w:tcPr>
            <w:tcW w:w="686"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1</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3.要求提供公开出版物</w:t>
            </w:r>
          </w:p>
        </w:tc>
        <w:tc>
          <w:tcPr>
            <w:tcW w:w="777"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6"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4.无正当理由大量反复申请</w:t>
            </w:r>
          </w:p>
        </w:tc>
        <w:tc>
          <w:tcPr>
            <w:tcW w:w="777"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6"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vAlign w:val="center"/>
          </w:tcPr>
          <w:p>
            <w:pPr>
              <w:widowControl/>
              <w:rPr>
                <w:rFonts w:ascii="Times New Roman" w:hAnsi="Times New Roman"/>
                <w:color w:val="000000"/>
                <w:sz w:val="20"/>
                <w:szCs w:val="20"/>
              </w:rPr>
            </w:pPr>
            <w:r>
              <w:rPr>
                <w:rFonts w:hint="eastAsia" w:ascii="Times New Roman" w:hAnsi="Times New Roman" w:cs="宋体"/>
                <w:color w:val="000000"/>
                <w:kern w:val="0"/>
                <w:sz w:val="20"/>
                <w:szCs w:val="20"/>
                <w:lang w:bidi="ar"/>
              </w:rPr>
              <w:t>5.要求行政机关确认或重新出具已获取信息</w:t>
            </w:r>
          </w:p>
        </w:tc>
        <w:tc>
          <w:tcPr>
            <w:tcW w:w="777"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6"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restart"/>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（六）其他处理</w:t>
            </w:r>
          </w:p>
        </w:tc>
        <w:tc>
          <w:tcPr>
            <w:tcW w:w="3167" w:type="dxa"/>
            <w:tcMar>
              <w:left w:w="57" w:type="dxa"/>
              <w:right w:w="57" w:type="dxa"/>
            </w:tcMar>
            <w:vAlign w:val="center"/>
          </w:tcPr>
          <w:p>
            <w:pPr>
              <w:widowControl/>
              <w:rPr>
                <w:rFonts w:ascii="Times New Roman" w:hAnsi="Times New Roman"/>
                <w:color w:val="000000"/>
                <w:sz w:val="20"/>
                <w:szCs w:val="20"/>
              </w:rPr>
            </w:pPr>
            <w:r>
              <w:rPr>
                <w:rFonts w:ascii="Times New Roman" w:hAnsi="Times New Roman"/>
                <w:color w:val="000000"/>
                <w:kern w:val="0"/>
                <w:sz w:val="20"/>
                <w:szCs w:val="20"/>
                <w:lang w:bidi="ar"/>
              </w:rPr>
              <w:t>1.申请人无正当理由逾期不补正、行政机关不再处理其政府信息公开申请</w:t>
            </w:r>
          </w:p>
        </w:tc>
        <w:tc>
          <w:tcPr>
            <w:tcW w:w="777" w:type="dxa"/>
            <w:tcMar>
              <w:left w:w="57" w:type="dxa"/>
              <w:right w:w="57" w:type="dxa"/>
            </w:tcMar>
            <w:vAlign w:val="center"/>
          </w:tcPr>
          <w:p>
            <w:pPr>
              <w:widowControl/>
              <w:jc w:val="center"/>
              <w:rPr>
                <w:rFonts w:hint="default"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19</w:t>
            </w:r>
          </w:p>
        </w:tc>
        <w:tc>
          <w:tcPr>
            <w:tcW w:w="686"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default"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vAlign w:val="center"/>
          </w:tcPr>
          <w:p>
            <w:pPr>
              <w:widowControl/>
              <w:rPr>
                <w:rFonts w:ascii="Times New Roman" w:hAnsi="Times New Roman"/>
                <w:color w:val="000000"/>
                <w:sz w:val="20"/>
                <w:szCs w:val="20"/>
              </w:rPr>
            </w:pPr>
            <w:r>
              <w:rPr>
                <w:rFonts w:ascii="Times New Roman" w:hAnsi="Times New Roman"/>
                <w:color w:val="000000"/>
                <w:kern w:val="0"/>
                <w:sz w:val="20"/>
                <w:szCs w:val="20"/>
                <w:lang w:bidi="ar"/>
              </w:rPr>
              <w:t>2.申请人逾期未按收费通知要求缴纳费用、行政机关不再处理其政府信息公开申请</w:t>
            </w:r>
          </w:p>
        </w:tc>
        <w:tc>
          <w:tcPr>
            <w:tcW w:w="777"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6"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vAlign w:val="center"/>
          </w:tcPr>
          <w:p>
            <w:pPr>
              <w:widowControl/>
              <w:jc w:val="left"/>
              <w:rPr>
                <w:rFonts w:ascii="Times New Roman" w:hAnsi="Times New Roman"/>
                <w:color w:val="000000"/>
                <w:sz w:val="20"/>
                <w:szCs w:val="20"/>
              </w:rPr>
            </w:pPr>
            <w:r>
              <w:rPr>
                <w:rFonts w:ascii="Times New Roman" w:hAnsi="Times New Roman"/>
                <w:color w:val="000000"/>
                <w:kern w:val="0"/>
                <w:sz w:val="20"/>
                <w:szCs w:val="20"/>
                <w:lang w:bidi="ar"/>
              </w:rPr>
              <w:t>3.其他</w:t>
            </w:r>
          </w:p>
        </w:tc>
        <w:tc>
          <w:tcPr>
            <w:tcW w:w="777"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6"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4105" w:type="dxa"/>
            <w:gridSpan w:val="2"/>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（七）总计</w:t>
            </w:r>
          </w:p>
        </w:tc>
        <w:tc>
          <w:tcPr>
            <w:tcW w:w="777" w:type="dxa"/>
            <w:tcMar>
              <w:left w:w="57" w:type="dxa"/>
              <w:right w:w="57" w:type="dxa"/>
            </w:tcMar>
            <w:vAlign w:val="center"/>
          </w:tcPr>
          <w:p>
            <w:pPr>
              <w:widowControl/>
              <w:jc w:val="center"/>
              <w:rPr>
                <w:rFonts w:hint="default"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607</w:t>
            </w:r>
          </w:p>
        </w:tc>
        <w:tc>
          <w:tcPr>
            <w:tcW w:w="686" w:type="dxa"/>
            <w:tcMar>
              <w:left w:w="57" w:type="dxa"/>
              <w:right w:w="57" w:type="dxa"/>
            </w:tcMar>
            <w:vAlign w:val="center"/>
          </w:tcPr>
          <w:p>
            <w:pPr>
              <w:widowControl/>
              <w:jc w:val="center"/>
              <w:rPr>
                <w:rFonts w:hint="default"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41</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3</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tcPr>
          <w:p>
            <w:pPr>
              <w:widowControl/>
              <w:jc w:val="center"/>
              <w:rPr>
                <w:rFonts w:hint="default"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66" w:type="dxa"/>
            <w:gridSpan w:val="3"/>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四、结转下年度继续办理</w:t>
            </w:r>
          </w:p>
        </w:tc>
        <w:tc>
          <w:tcPr>
            <w:tcW w:w="777" w:type="dxa"/>
            <w:tcMar>
              <w:left w:w="57" w:type="dxa"/>
              <w:right w:w="57" w:type="dxa"/>
            </w:tcMar>
            <w:vAlign w:val="center"/>
          </w:tcPr>
          <w:p>
            <w:pPr>
              <w:widowControl/>
              <w:jc w:val="center"/>
              <w:rPr>
                <w:rFonts w:hint="default"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56</w:t>
            </w:r>
          </w:p>
        </w:tc>
        <w:tc>
          <w:tcPr>
            <w:tcW w:w="686"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3</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 w:eastAsia="zh-CN" w:bidi="ar"/>
              </w:rPr>
            </w:pPr>
            <w:r>
              <w:rPr>
                <w:rFonts w:hint="eastAsia" w:ascii="Times New Roman" w:hAnsi="Times New Roman"/>
                <w:color w:val="000000"/>
                <w:kern w:val="0"/>
                <w:sz w:val="20"/>
                <w:szCs w:val="20"/>
                <w:lang w:val="en-US" w:eastAsia="zh-CN" w:bidi="ar"/>
              </w:rPr>
              <w:t>0</w:t>
            </w:r>
          </w:p>
        </w:tc>
        <w:tc>
          <w:tcPr>
            <w:tcW w:w="681" w:type="dxa"/>
            <w:tcMar>
              <w:left w:w="57" w:type="dxa"/>
              <w:right w:w="57" w:type="dxa"/>
            </w:tcMar>
            <w:vAlign w:val="center"/>
          </w:tcPr>
          <w:p>
            <w:pPr>
              <w:widowControl/>
              <w:jc w:val="center"/>
              <w:rPr>
                <w:rFonts w:hint="eastAsia" w:ascii="Times New Roman" w:hAnsi="Times New Roman"/>
                <w:color w:val="000000"/>
                <w:kern w:val="0"/>
                <w:sz w:val="20"/>
                <w:szCs w:val="20"/>
                <w:lang w:val="en" w:eastAsia="zh-CN" w:bidi="ar"/>
              </w:rPr>
            </w:pPr>
            <w:r>
              <w:rPr>
                <w:rFonts w:hint="eastAsia" w:ascii="Times New Roman" w:hAnsi="Times New Roman"/>
                <w:color w:val="000000"/>
                <w:kern w:val="0"/>
                <w:sz w:val="20"/>
                <w:szCs w:val="20"/>
                <w:lang w:val="en-US" w:eastAsia="zh-CN" w:bidi="ar"/>
              </w:rPr>
              <w:t>0</w:t>
            </w:r>
          </w:p>
        </w:tc>
        <w:tc>
          <w:tcPr>
            <w:tcW w:w="695" w:type="dxa"/>
            <w:tcMar>
              <w:left w:w="57" w:type="dxa"/>
              <w:right w:w="57" w:type="dxa"/>
            </w:tcMar>
            <w:vAlign w:val="center"/>
          </w:tcPr>
          <w:p>
            <w:pPr>
              <w:widowControl/>
              <w:jc w:val="center"/>
              <w:rPr>
                <w:rFonts w:hint="default"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59</w:t>
            </w:r>
          </w:p>
        </w:tc>
      </w:tr>
    </w:tbl>
    <w:p>
      <w:pPr>
        <w:spacing w:line="600" w:lineRule="exact"/>
        <w:ind w:firstLine="640" w:firstLineChars="20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四、政府信息公开行政复议、行政诉讼情况</w:t>
      </w:r>
    </w:p>
    <w:tbl>
      <w:tblPr>
        <w:tblStyle w:val="14"/>
        <w:tblW w:w="974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bottom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行政复议</w:t>
            </w:r>
          </w:p>
        </w:tc>
        <w:tc>
          <w:tcPr>
            <w:tcW w:w="6503" w:type="dxa"/>
            <w:gridSpan w:val="10"/>
            <w:tcBorders>
              <w:left w:val="single" w:color="auto" w:sz="4" w:space="0"/>
              <w:bottom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行政诉讼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single" w:color="auto" w:sz="4" w:space="0"/>
              <w:bottom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结果维持</w:t>
            </w:r>
          </w:p>
        </w:tc>
        <w:tc>
          <w:tcPr>
            <w:tcW w:w="649"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hint="eastAsia" w:ascii="Times New Roman" w:hAnsi="Times New Roman" w:eastAsia="宋体" w:cs="宋体"/>
                <w:color w:val="000000"/>
                <w:kern w:val="0"/>
                <w:sz w:val="20"/>
                <w:szCs w:val="20"/>
                <w:lang w:eastAsia="zh-CN" w:bidi="ar"/>
              </w:rPr>
            </w:pPr>
            <w:r>
              <w:rPr>
                <w:rFonts w:hint="eastAsia" w:ascii="Times New Roman" w:hAnsi="Times New Roman" w:cs="宋体"/>
                <w:color w:val="000000"/>
                <w:kern w:val="0"/>
                <w:sz w:val="20"/>
                <w:szCs w:val="20"/>
                <w:lang w:bidi="ar"/>
              </w:rPr>
              <w:t>结果</w:t>
            </w:r>
          </w:p>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纠正</w:t>
            </w:r>
          </w:p>
        </w:tc>
        <w:tc>
          <w:tcPr>
            <w:tcW w:w="649"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hint="eastAsia" w:ascii="Times New Roman" w:hAnsi="Times New Roman" w:eastAsia="宋体" w:cs="宋体"/>
                <w:color w:val="000000"/>
                <w:kern w:val="0"/>
                <w:sz w:val="20"/>
                <w:szCs w:val="20"/>
                <w:lang w:eastAsia="zh-CN" w:bidi="ar"/>
              </w:rPr>
            </w:pPr>
            <w:r>
              <w:rPr>
                <w:rFonts w:hint="eastAsia" w:ascii="Times New Roman" w:hAnsi="Times New Roman" w:cs="宋体"/>
                <w:color w:val="000000"/>
                <w:kern w:val="0"/>
                <w:sz w:val="20"/>
                <w:szCs w:val="20"/>
                <w:lang w:bidi="ar"/>
              </w:rPr>
              <w:t>其他</w:t>
            </w:r>
          </w:p>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结果</w:t>
            </w:r>
          </w:p>
        </w:tc>
        <w:tc>
          <w:tcPr>
            <w:tcW w:w="649"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hint="eastAsia" w:ascii="Times New Roman" w:hAnsi="Times New Roman" w:eastAsia="宋体" w:cs="宋体"/>
                <w:color w:val="000000"/>
                <w:kern w:val="0"/>
                <w:sz w:val="20"/>
                <w:szCs w:val="20"/>
                <w:lang w:eastAsia="zh-CN" w:bidi="ar"/>
              </w:rPr>
            </w:pPr>
            <w:r>
              <w:rPr>
                <w:rFonts w:hint="eastAsia" w:ascii="Times New Roman" w:hAnsi="Times New Roman" w:cs="宋体"/>
                <w:color w:val="000000"/>
                <w:kern w:val="0"/>
                <w:sz w:val="20"/>
                <w:szCs w:val="20"/>
                <w:lang w:bidi="ar"/>
              </w:rPr>
              <w:t>尚未</w:t>
            </w:r>
          </w:p>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审结</w:t>
            </w:r>
          </w:p>
        </w:tc>
        <w:tc>
          <w:tcPr>
            <w:tcW w:w="649"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总计</w:t>
            </w:r>
          </w:p>
        </w:tc>
        <w:tc>
          <w:tcPr>
            <w:tcW w:w="3248"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未经复议直接起诉</w:t>
            </w:r>
          </w:p>
        </w:tc>
        <w:tc>
          <w:tcPr>
            <w:tcW w:w="3255" w:type="dxa"/>
            <w:gridSpan w:val="5"/>
            <w:tcBorders>
              <w:top w:val="single" w:color="auto" w:sz="4" w:space="0"/>
              <w:left w:val="single" w:color="auto" w:sz="4" w:space="0"/>
              <w:bottom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复议后起诉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single" w:color="auto" w:sz="4" w:space="0"/>
              <w:bottom w:val="single" w:color="auto" w:sz="4" w:space="0"/>
              <w:right w:val="single" w:color="auto" w:sz="4" w:space="0"/>
            </w:tcBorders>
            <w:tcMar>
              <w:left w:w="108" w:type="dxa"/>
              <w:right w:w="108" w:type="dxa"/>
            </w:tcMar>
            <w:vAlign w:val="center"/>
          </w:tcPr>
          <w:p>
            <w:pPr>
              <w:rPr>
                <w:rFonts w:ascii="Times New Roman" w:hAnsi="Times New Roman"/>
                <w:color w:val="000000"/>
                <w:sz w:val="20"/>
                <w:szCs w:val="20"/>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ascii="Times New Roman" w:hAnsi="Times New Roman"/>
                <w:color w:val="000000"/>
                <w:sz w:val="20"/>
                <w:szCs w:val="20"/>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ascii="Times New Roman" w:hAnsi="Times New Roman"/>
                <w:color w:val="000000"/>
                <w:sz w:val="20"/>
                <w:szCs w:val="20"/>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ascii="Times New Roman" w:hAnsi="Times New Roman"/>
                <w:color w:val="000000"/>
                <w:sz w:val="20"/>
                <w:szCs w:val="20"/>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ascii="Times New Roman" w:hAnsi="Times New Roman"/>
                <w:color w:val="000000"/>
                <w:sz w:val="20"/>
                <w:szCs w:val="20"/>
              </w:rPr>
            </w:pP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hint="eastAsia" w:ascii="Times New Roman" w:hAnsi="Times New Roman" w:eastAsia="宋体" w:cs="宋体"/>
                <w:color w:val="000000"/>
                <w:kern w:val="0"/>
                <w:sz w:val="20"/>
                <w:szCs w:val="20"/>
                <w:lang w:eastAsia="zh-CN" w:bidi="ar"/>
              </w:rPr>
            </w:pPr>
            <w:r>
              <w:rPr>
                <w:rFonts w:hint="eastAsia" w:ascii="Times New Roman" w:hAnsi="Times New Roman" w:cs="宋体"/>
                <w:color w:val="000000"/>
                <w:kern w:val="0"/>
                <w:sz w:val="20"/>
                <w:szCs w:val="20"/>
                <w:lang w:bidi="ar"/>
              </w:rPr>
              <w:t>结果</w:t>
            </w:r>
          </w:p>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维持</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hint="eastAsia" w:ascii="Times New Roman" w:hAnsi="Times New Roman" w:eastAsia="宋体" w:cs="宋体"/>
                <w:color w:val="000000"/>
                <w:kern w:val="0"/>
                <w:sz w:val="20"/>
                <w:szCs w:val="20"/>
                <w:lang w:eastAsia="zh-CN" w:bidi="ar"/>
              </w:rPr>
            </w:pPr>
            <w:r>
              <w:rPr>
                <w:rFonts w:hint="eastAsia" w:ascii="Times New Roman" w:hAnsi="Times New Roman" w:cs="宋体"/>
                <w:color w:val="000000"/>
                <w:kern w:val="0"/>
                <w:sz w:val="20"/>
                <w:szCs w:val="20"/>
                <w:lang w:bidi="ar"/>
              </w:rPr>
              <w:t>结果</w:t>
            </w:r>
          </w:p>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纠正</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hint="eastAsia" w:ascii="Times New Roman" w:hAnsi="Times New Roman" w:eastAsia="宋体" w:cs="宋体"/>
                <w:color w:val="000000"/>
                <w:kern w:val="0"/>
                <w:sz w:val="20"/>
                <w:szCs w:val="20"/>
                <w:lang w:eastAsia="zh-CN" w:bidi="ar"/>
              </w:rPr>
            </w:pPr>
            <w:r>
              <w:rPr>
                <w:rFonts w:hint="eastAsia" w:ascii="Times New Roman" w:hAnsi="Times New Roman" w:cs="宋体"/>
                <w:color w:val="000000"/>
                <w:kern w:val="0"/>
                <w:sz w:val="20"/>
                <w:szCs w:val="20"/>
                <w:lang w:bidi="ar"/>
              </w:rPr>
              <w:t>其他</w:t>
            </w:r>
          </w:p>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结果</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hint="eastAsia" w:ascii="Times New Roman" w:hAnsi="Times New Roman" w:eastAsia="宋体" w:cs="宋体"/>
                <w:color w:val="000000"/>
                <w:kern w:val="0"/>
                <w:sz w:val="20"/>
                <w:szCs w:val="20"/>
                <w:lang w:eastAsia="zh-CN" w:bidi="ar"/>
              </w:rPr>
            </w:pPr>
            <w:r>
              <w:rPr>
                <w:rFonts w:hint="eastAsia" w:ascii="Times New Roman" w:hAnsi="Times New Roman" w:cs="宋体"/>
                <w:color w:val="000000"/>
                <w:kern w:val="0"/>
                <w:sz w:val="20"/>
                <w:szCs w:val="20"/>
                <w:lang w:bidi="ar"/>
              </w:rPr>
              <w:t>尚未</w:t>
            </w:r>
          </w:p>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审结</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总计</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hint="eastAsia" w:ascii="Times New Roman" w:hAnsi="Times New Roman" w:eastAsia="宋体" w:cs="宋体"/>
                <w:color w:val="000000"/>
                <w:kern w:val="0"/>
                <w:sz w:val="20"/>
                <w:szCs w:val="20"/>
                <w:lang w:eastAsia="zh-CN" w:bidi="ar"/>
              </w:rPr>
            </w:pPr>
            <w:r>
              <w:rPr>
                <w:rFonts w:hint="eastAsia" w:ascii="Times New Roman" w:hAnsi="Times New Roman" w:cs="宋体"/>
                <w:color w:val="000000"/>
                <w:kern w:val="0"/>
                <w:sz w:val="20"/>
                <w:szCs w:val="20"/>
                <w:lang w:bidi="ar"/>
              </w:rPr>
              <w:t>结果</w:t>
            </w:r>
          </w:p>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维持</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hint="eastAsia" w:ascii="Times New Roman" w:hAnsi="Times New Roman" w:eastAsia="宋体" w:cs="宋体"/>
                <w:color w:val="000000"/>
                <w:kern w:val="0"/>
                <w:sz w:val="20"/>
                <w:szCs w:val="20"/>
                <w:lang w:eastAsia="zh-CN" w:bidi="ar"/>
              </w:rPr>
            </w:pPr>
            <w:r>
              <w:rPr>
                <w:rFonts w:hint="eastAsia" w:ascii="Times New Roman" w:hAnsi="Times New Roman" w:cs="宋体"/>
                <w:color w:val="000000"/>
                <w:kern w:val="0"/>
                <w:sz w:val="20"/>
                <w:szCs w:val="20"/>
                <w:lang w:bidi="ar"/>
              </w:rPr>
              <w:t>结果</w:t>
            </w:r>
          </w:p>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纠正</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hint="eastAsia" w:ascii="Times New Roman" w:hAnsi="Times New Roman" w:eastAsia="宋体" w:cs="宋体"/>
                <w:color w:val="000000"/>
                <w:kern w:val="0"/>
                <w:sz w:val="20"/>
                <w:szCs w:val="20"/>
                <w:lang w:eastAsia="zh-CN" w:bidi="ar"/>
              </w:rPr>
            </w:pPr>
            <w:r>
              <w:rPr>
                <w:rFonts w:hint="eastAsia" w:ascii="Times New Roman" w:hAnsi="Times New Roman" w:cs="宋体"/>
                <w:color w:val="000000"/>
                <w:kern w:val="0"/>
                <w:sz w:val="20"/>
                <w:szCs w:val="20"/>
                <w:lang w:bidi="ar"/>
              </w:rPr>
              <w:t>其他</w:t>
            </w:r>
          </w:p>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结果</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hint="eastAsia" w:ascii="Times New Roman" w:hAnsi="Times New Roman" w:eastAsia="宋体" w:cs="宋体"/>
                <w:color w:val="000000"/>
                <w:kern w:val="0"/>
                <w:sz w:val="20"/>
                <w:szCs w:val="20"/>
                <w:lang w:eastAsia="zh-CN" w:bidi="ar"/>
              </w:rPr>
            </w:pPr>
            <w:r>
              <w:rPr>
                <w:rFonts w:hint="eastAsia" w:ascii="Times New Roman" w:hAnsi="Times New Roman" w:cs="宋体"/>
                <w:color w:val="000000"/>
                <w:kern w:val="0"/>
                <w:sz w:val="20"/>
                <w:szCs w:val="20"/>
                <w:lang w:bidi="ar"/>
              </w:rPr>
              <w:t>尚未</w:t>
            </w:r>
          </w:p>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审结</w:t>
            </w:r>
          </w:p>
        </w:tc>
        <w:tc>
          <w:tcPr>
            <w:tcW w:w="651" w:type="dxa"/>
            <w:tcBorders>
              <w:top w:val="single" w:color="auto" w:sz="4" w:space="0"/>
              <w:left w:val="single" w:color="auto" w:sz="4" w:space="0"/>
              <w:bottom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single" w:color="auto" w:sz="4" w:space="0"/>
              <w:right w:val="single" w:color="auto" w:sz="4" w:space="0"/>
            </w:tcBorders>
            <w:tcMar>
              <w:left w:w="108" w:type="dxa"/>
              <w:right w:w="108" w:type="dxa"/>
            </w:tcMar>
            <w:vAlign w:val="center"/>
          </w:tcPr>
          <w:p>
            <w:pPr>
              <w:widowControl/>
              <w:jc w:val="center"/>
              <w:rPr>
                <w:rFonts w:hint="default" w:ascii="Times New Roman" w:hAnsi="Times New Roman" w:eastAsia="宋体"/>
                <w:color w:val="000000"/>
                <w:sz w:val="20"/>
                <w:szCs w:val="20"/>
                <w:lang w:val="en-US" w:eastAsia="zh-CN"/>
              </w:rPr>
            </w:pPr>
            <w:r>
              <w:rPr>
                <w:rFonts w:hint="eastAsia" w:ascii="Times New Roman" w:hAnsi="Times New Roman"/>
                <w:color w:val="000000"/>
                <w:sz w:val="20"/>
                <w:szCs w:val="20"/>
                <w:lang w:val="en-US" w:eastAsia="zh-CN"/>
              </w:rPr>
              <w:t>11</w:t>
            </w:r>
          </w:p>
        </w:tc>
        <w:tc>
          <w:tcPr>
            <w:tcW w:w="649"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hint="eastAsia" w:ascii="Times New Roman" w:hAnsi="Times New Roman" w:eastAsia="宋体"/>
                <w:color w:val="000000"/>
                <w:sz w:val="20"/>
                <w:szCs w:val="20"/>
                <w:lang w:eastAsia="zh-CN"/>
              </w:rPr>
            </w:pPr>
            <w:r>
              <w:rPr>
                <w:rFonts w:hint="eastAsia" w:ascii="Times New Roman" w:hAnsi="Times New Roman"/>
                <w:color w:val="000000"/>
                <w:sz w:val="20"/>
                <w:szCs w:val="20"/>
                <w:lang w:val="en-US" w:eastAsia="zh-CN"/>
              </w:rPr>
              <w:t>0</w:t>
            </w:r>
          </w:p>
        </w:tc>
        <w:tc>
          <w:tcPr>
            <w:tcW w:w="649"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hint="eastAsia" w:ascii="Times New Roman" w:hAnsi="Times New Roman" w:eastAsia="宋体"/>
                <w:color w:val="000000"/>
                <w:sz w:val="20"/>
                <w:szCs w:val="20"/>
                <w:lang w:eastAsia="zh-CN"/>
              </w:rPr>
            </w:pPr>
            <w:r>
              <w:rPr>
                <w:rFonts w:hint="eastAsia" w:ascii="Times New Roman" w:hAnsi="Times New Roman"/>
                <w:color w:val="000000"/>
                <w:sz w:val="20"/>
                <w:szCs w:val="20"/>
                <w:lang w:val="en-US" w:eastAsia="zh-CN"/>
              </w:rPr>
              <w:t>1</w:t>
            </w:r>
          </w:p>
        </w:tc>
        <w:tc>
          <w:tcPr>
            <w:tcW w:w="649"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hint="eastAsia" w:ascii="Times New Roman" w:hAnsi="Times New Roman" w:eastAsia="宋体"/>
                <w:color w:val="000000"/>
                <w:sz w:val="20"/>
                <w:szCs w:val="20"/>
                <w:lang w:eastAsia="zh-CN"/>
              </w:rPr>
            </w:pPr>
            <w:r>
              <w:rPr>
                <w:rFonts w:hint="eastAsia" w:ascii="Times New Roman" w:hAnsi="Times New Roman"/>
                <w:color w:val="000000"/>
                <w:sz w:val="20"/>
                <w:szCs w:val="20"/>
                <w:lang w:val="en-US" w:eastAsia="zh-CN"/>
              </w:rPr>
              <w:t>2</w:t>
            </w:r>
          </w:p>
        </w:tc>
        <w:tc>
          <w:tcPr>
            <w:tcW w:w="649"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hint="default" w:ascii="Times New Roman" w:hAnsi="Times New Roman" w:eastAsia="宋体"/>
                <w:color w:val="000000"/>
                <w:sz w:val="20"/>
                <w:szCs w:val="20"/>
                <w:lang w:val="en-US" w:eastAsia="zh-CN"/>
              </w:rPr>
            </w:pPr>
            <w:r>
              <w:rPr>
                <w:rFonts w:hint="eastAsia" w:ascii="Times New Roman" w:hAnsi="Times New Roman"/>
                <w:color w:val="000000"/>
                <w:sz w:val="20"/>
                <w:szCs w:val="20"/>
                <w:lang w:val="en-US" w:eastAsia="zh-CN"/>
              </w:rPr>
              <w:t>14</w:t>
            </w:r>
          </w:p>
        </w:tc>
        <w:tc>
          <w:tcPr>
            <w:tcW w:w="649"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hint="default" w:ascii="Times New Roman" w:hAnsi="Times New Roman" w:eastAsia="宋体"/>
                <w:color w:val="000000"/>
                <w:sz w:val="20"/>
                <w:szCs w:val="20"/>
                <w:lang w:val="en-US" w:eastAsia="zh-CN"/>
              </w:rPr>
            </w:pPr>
            <w:r>
              <w:rPr>
                <w:rFonts w:hint="eastAsia" w:ascii="Times New Roman" w:hAnsi="Times New Roman"/>
                <w:color w:val="000000"/>
                <w:sz w:val="20"/>
                <w:szCs w:val="20"/>
                <w:lang w:val="en-US" w:eastAsia="zh-CN"/>
              </w:rPr>
              <w:t>14</w:t>
            </w:r>
          </w:p>
        </w:tc>
        <w:tc>
          <w:tcPr>
            <w:tcW w:w="649"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hint="eastAsia" w:ascii="Times New Roman" w:hAnsi="Times New Roman" w:eastAsia="宋体"/>
                <w:color w:val="000000"/>
                <w:sz w:val="20"/>
                <w:szCs w:val="20"/>
                <w:lang w:eastAsia="zh-CN"/>
              </w:rPr>
            </w:pPr>
            <w:r>
              <w:rPr>
                <w:rFonts w:hint="eastAsia" w:ascii="Times New Roman" w:hAnsi="Times New Roman"/>
                <w:color w:val="000000"/>
                <w:sz w:val="20"/>
                <w:szCs w:val="20"/>
                <w:lang w:val="en-US" w:eastAsia="zh-CN"/>
              </w:rPr>
              <w:t>0</w:t>
            </w:r>
          </w:p>
        </w:tc>
        <w:tc>
          <w:tcPr>
            <w:tcW w:w="650"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hint="default" w:ascii="Times New Roman" w:hAnsi="Times New Roman" w:eastAsia="宋体"/>
                <w:color w:val="000000"/>
                <w:sz w:val="20"/>
                <w:szCs w:val="20"/>
                <w:lang w:val="en" w:eastAsia="zh-CN"/>
              </w:rPr>
            </w:pPr>
            <w:r>
              <w:rPr>
                <w:rFonts w:hint="default" w:ascii="Times New Roman" w:hAnsi="Times New Roman"/>
                <w:color w:val="000000"/>
                <w:sz w:val="20"/>
                <w:szCs w:val="20"/>
                <w:lang w:val="en" w:eastAsia="zh-CN"/>
              </w:rPr>
              <w:t>1</w:t>
            </w:r>
          </w:p>
        </w:tc>
        <w:tc>
          <w:tcPr>
            <w:tcW w:w="650"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hint="default" w:ascii="Times New Roman" w:hAnsi="Times New Roman" w:eastAsia="宋体"/>
                <w:color w:val="000000"/>
                <w:sz w:val="20"/>
                <w:szCs w:val="20"/>
                <w:lang w:val="en" w:eastAsia="zh-CN"/>
              </w:rPr>
            </w:pPr>
            <w:r>
              <w:rPr>
                <w:rFonts w:hint="default" w:ascii="Times New Roman" w:hAnsi="Times New Roman"/>
                <w:color w:val="000000"/>
                <w:sz w:val="20"/>
                <w:szCs w:val="20"/>
                <w:lang w:val="en" w:eastAsia="zh-CN"/>
              </w:rPr>
              <w:t>1</w:t>
            </w:r>
          </w:p>
        </w:tc>
        <w:tc>
          <w:tcPr>
            <w:tcW w:w="650"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hint="default" w:ascii="Times New Roman" w:hAnsi="Times New Roman" w:eastAsia="宋体"/>
                <w:color w:val="000000"/>
                <w:sz w:val="20"/>
                <w:szCs w:val="20"/>
                <w:lang w:val="en-US" w:eastAsia="zh-CN"/>
              </w:rPr>
            </w:pPr>
            <w:r>
              <w:rPr>
                <w:rFonts w:hint="eastAsia" w:ascii="Times New Roman" w:hAnsi="Times New Roman"/>
                <w:color w:val="000000"/>
                <w:sz w:val="20"/>
                <w:szCs w:val="20"/>
                <w:lang w:val="en-US" w:eastAsia="zh-CN"/>
              </w:rPr>
              <w:t>16</w:t>
            </w:r>
          </w:p>
        </w:tc>
        <w:tc>
          <w:tcPr>
            <w:tcW w:w="651"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hint="eastAsia" w:ascii="Times New Roman" w:hAnsi="Times New Roman" w:eastAsia="宋体"/>
                <w:color w:val="000000"/>
                <w:sz w:val="20"/>
                <w:szCs w:val="20"/>
                <w:lang w:eastAsia="zh-CN"/>
              </w:rPr>
            </w:pPr>
            <w:r>
              <w:rPr>
                <w:rFonts w:hint="eastAsia" w:ascii="Times New Roman" w:hAnsi="Times New Roman"/>
                <w:color w:val="000000"/>
                <w:sz w:val="20"/>
                <w:szCs w:val="20"/>
                <w:lang w:val="en-US" w:eastAsia="zh-CN"/>
              </w:rPr>
              <w:t>7</w:t>
            </w:r>
          </w:p>
        </w:tc>
        <w:tc>
          <w:tcPr>
            <w:tcW w:w="651"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hint="eastAsia" w:ascii="Times New Roman" w:hAnsi="Times New Roman" w:eastAsia="宋体"/>
                <w:color w:val="000000"/>
                <w:sz w:val="20"/>
                <w:szCs w:val="20"/>
                <w:lang w:eastAsia="zh-CN"/>
              </w:rPr>
            </w:pPr>
            <w:r>
              <w:rPr>
                <w:rFonts w:hint="eastAsia" w:ascii="Times New Roman" w:hAnsi="Times New Roman"/>
                <w:color w:val="000000"/>
                <w:sz w:val="20"/>
                <w:szCs w:val="20"/>
                <w:lang w:val="en-US" w:eastAsia="zh-CN"/>
              </w:rPr>
              <w:t>0</w:t>
            </w:r>
          </w:p>
        </w:tc>
        <w:tc>
          <w:tcPr>
            <w:tcW w:w="651"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hint="eastAsia" w:ascii="Times New Roman" w:hAnsi="Times New Roman" w:eastAsia="宋体"/>
                <w:color w:val="000000"/>
                <w:sz w:val="20"/>
                <w:szCs w:val="20"/>
                <w:lang w:val="en-US" w:eastAsia="zh-CN"/>
              </w:rPr>
            </w:pPr>
            <w:r>
              <w:rPr>
                <w:rFonts w:hint="eastAsia" w:ascii="Times New Roman" w:hAnsi="Times New Roman"/>
                <w:color w:val="000000"/>
                <w:sz w:val="20"/>
                <w:szCs w:val="20"/>
                <w:lang w:val="en-US" w:eastAsia="zh-CN"/>
              </w:rPr>
              <w:t>0</w:t>
            </w:r>
          </w:p>
        </w:tc>
        <w:tc>
          <w:tcPr>
            <w:tcW w:w="651"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hint="eastAsia" w:ascii="Times New Roman" w:hAnsi="Times New Roman" w:eastAsia="宋体"/>
                <w:color w:val="000000"/>
                <w:sz w:val="20"/>
                <w:szCs w:val="20"/>
                <w:lang w:eastAsia="zh-CN"/>
              </w:rPr>
            </w:pPr>
            <w:r>
              <w:rPr>
                <w:rFonts w:hint="eastAsia" w:ascii="Times New Roman" w:hAnsi="Times New Roman"/>
                <w:color w:val="000000"/>
                <w:sz w:val="20"/>
                <w:szCs w:val="20"/>
                <w:lang w:val="en-US" w:eastAsia="zh-CN"/>
              </w:rPr>
              <w:t>1</w:t>
            </w:r>
          </w:p>
        </w:tc>
        <w:tc>
          <w:tcPr>
            <w:tcW w:w="651" w:type="dxa"/>
            <w:tcBorders>
              <w:top w:val="single" w:color="auto" w:sz="4" w:space="0"/>
              <w:left w:val="single" w:color="auto" w:sz="4" w:space="0"/>
            </w:tcBorders>
            <w:tcMar>
              <w:left w:w="108" w:type="dxa"/>
              <w:right w:w="108" w:type="dxa"/>
            </w:tcMar>
            <w:vAlign w:val="center"/>
          </w:tcPr>
          <w:p>
            <w:pPr>
              <w:widowControl/>
              <w:jc w:val="center"/>
              <w:rPr>
                <w:rFonts w:hint="eastAsia" w:ascii="Times New Roman" w:hAnsi="Times New Roman" w:eastAsia="宋体"/>
                <w:color w:val="000000"/>
                <w:sz w:val="20"/>
                <w:szCs w:val="20"/>
                <w:lang w:eastAsia="zh-CN"/>
              </w:rPr>
            </w:pPr>
            <w:r>
              <w:rPr>
                <w:rFonts w:hint="eastAsia" w:ascii="Times New Roman" w:hAnsi="Times New Roman"/>
                <w:color w:val="000000"/>
                <w:sz w:val="20"/>
                <w:szCs w:val="20"/>
                <w:lang w:val="en-US" w:eastAsia="zh-CN"/>
              </w:rPr>
              <w:t>8</w:t>
            </w:r>
          </w:p>
        </w:tc>
      </w:tr>
    </w:tbl>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五、存在的主要问题及</w:t>
      </w:r>
      <w:r>
        <w:rPr>
          <w:rFonts w:hint="eastAsia" w:ascii="Times New Roman" w:hAnsi="Times New Roman" w:eastAsia="方正黑体_GBK"/>
          <w:sz w:val="32"/>
          <w:szCs w:val="32"/>
          <w:lang w:eastAsia="zh-CN"/>
        </w:rPr>
        <w:t>下步</w:t>
      </w:r>
      <w:r>
        <w:rPr>
          <w:rFonts w:hint="eastAsia" w:ascii="Times New Roman" w:hAnsi="Times New Roman" w:eastAsia="方正黑体_GBK"/>
          <w:sz w:val="32"/>
          <w:szCs w:val="32"/>
        </w:rPr>
        <w:t>改进情况</w:t>
      </w:r>
    </w:p>
    <w:p>
      <w:pPr>
        <w:spacing w:line="6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年，</w:t>
      </w:r>
      <w:r>
        <w:rPr>
          <w:rFonts w:hint="eastAsia" w:ascii="Times New Roman" w:hAnsi="Times New Roman" w:eastAsia="方正仿宋_GBK"/>
          <w:sz w:val="32"/>
          <w:szCs w:val="32"/>
          <w:lang w:eastAsia="zh-CN"/>
        </w:rPr>
        <w:t>重庆市人民政府办公厅</w:t>
      </w:r>
      <w:r>
        <w:rPr>
          <w:rFonts w:hint="eastAsia" w:ascii="Times New Roman" w:hAnsi="Times New Roman" w:eastAsia="方正仿宋_GBK"/>
          <w:sz w:val="32"/>
          <w:szCs w:val="32"/>
        </w:rPr>
        <w:t>政府信息公开工作取得一定成效，</w:t>
      </w:r>
      <w:r>
        <w:rPr>
          <w:rFonts w:hint="eastAsia" w:ascii="Times New Roman" w:hAnsi="Times New Roman" w:eastAsia="方正仿宋_GBK"/>
          <w:sz w:val="32"/>
          <w:szCs w:val="32"/>
          <w:lang w:eastAsia="zh-CN"/>
        </w:rPr>
        <w:t>但</w:t>
      </w:r>
      <w:r>
        <w:rPr>
          <w:rFonts w:hint="eastAsia" w:ascii="Times New Roman" w:hAnsi="Times New Roman" w:eastAsia="方正仿宋_GBK"/>
          <w:sz w:val="32"/>
          <w:szCs w:val="32"/>
        </w:rPr>
        <w:t>仍然存在以下不足：</w:t>
      </w:r>
      <w:r>
        <w:rPr>
          <w:rFonts w:hint="eastAsia" w:ascii="Times New Roman" w:hAnsi="Times New Roman" w:eastAsia="方正仿宋_GBK"/>
          <w:b/>
          <w:bCs/>
          <w:sz w:val="32"/>
          <w:szCs w:val="32"/>
        </w:rPr>
        <w:t>一是</w:t>
      </w:r>
      <w:r>
        <w:rPr>
          <w:rFonts w:hint="eastAsia" w:ascii="Times New Roman" w:hAnsi="Times New Roman" w:eastAsia="方正仿宋_GBK"/>
          <w:sz w:val="32"/>
          <w:szCs w:val="32"/>
          <w:lang w:eastAsia="zh-CN"/>
        </w:rPr>
        <w:t>政策</w:t>
      </w:r>
      <w:r>
        <w:rPr>
          <w:rFonts w:hint="eastAsia" w:ascii="Times New Roman" w:hAnsi="Times New Roman" w:eastAsia="方正仿宋_GBK"/>
          <w:sz w:val="32"/>
          <w:szCs w:val="32"/>
        </w:rPr>
        <w:t>精准推送与直达快享能力</w:t>
      </w:r>
      <w:r>
        <w:rPr>
          <w:rFonts w:hint="eastAsia" w:ascii="Times New Roman" w:hAnsi="Times New Roman" w:eastAsia="方正仿宋_GBK"/>
          <w:sz w:val="32"/>
          <w:szCs w:val="32"/>
          <w:lang w:eastAsia="zh-CN"/>
        </w:rPr>
        <w:t>存在短板；</w:t>
      </w:r>
      <w:r>
        <w:rPr>
          <w:rFonts w:hint="eastAsia" w:ascii="Times New Roman" w:hAnsi="Times New Roman" w:eastAsia="方正仿宋_GBK"/>
          <w:b/>
          <w:bCs/>
          <w:sz w:val="32"/>
          <w:szCs w:val="32"/>
          <w:lang w:eastAsia="zh-CN"/>
        </w:rPr>
        <w:t>二是</w:t>
      </w:r>
      <w:r>
        <w:rPr>
          <w:rFonts w:hint="eastAsia" w:ascii="Times New Roman" w:hAnsi="Times New Roman" w:eastAsia="方正仿宋_GBK"/>
          <w:sz w:val="32"/>
          <w:szCs w:val="32"/>
          <w:lang w:eastAsia="zh-CN"/>
        </w:rPr>
        <w:t>政策解读的质量和群众满意度仍需提高；</w:t>
      </w:r>
      <w:r>
        <w:rPr>
          <w:rFonts w:hint="eastAsia" w:ascii="Times New Roman" w:hAnsi="Times New Roman" w:eastAsia="方正仿宋_GBK"/>
          <w:b/>
          <w:bCs/>
          <w:sz w:val="32"/>
          <w:szCs w:val="32"/>
          <w:lang w:eastAsia="zh-CN"/>
        </w:rPr>
        <w:t>三是</w:t>
      </w:r>
      <w:r>
        <w:rPr>
          <w:rFonts w:hint="eastAsia" w:ascii="Times New Roman" w:hAnsi="Times New Roman" w:eastAsia="方正仿宋_GBK"/>
          <w:sz w:val="32"/>
          <w:szCs w:val="32"/>
          <w:lang w:eastAsia="zh-CN"/>
        </w:rPr>
        <w:t>公开平台建设还需加强。</w:t>
      </w:r>
    </w:p>
    <w:p>
      <w:pPr>
        <w:spacing w:line="600" w:lineRule="exact"/>
        <w:ind w:firstLine="640" w:firstLineChars="200"/>
        <w:rPr>
          <w:rFonts w:hint="eastAsia" w:ascii="Times New Roman" w:hAnsi="Times New Roman" w:eastAsia="方正仿宋_GBK" w:cs="Times New Roman"/>
          <w:b/>
          <w:bCs/>
          <w:kern w:val="2"/>
          <w:sz w:val="32"/>
          <w:szCs w:val="32"/>
          <w:lang w:val="en-US" w:eastAsia="zh-CN"/>
        </w:rPr>
      </w:pPr>
      <w:r>
        <w:rPr>
          <w:rFonts w:hint="eastAsia" w:ascii="Times New Roman" w:hAnsi="Times New Roman" w:eastAsia="方正仿宋_GBK"/>
          <w:sz w:val="32"/>
          <w:szCs w:val="32"/>
          <w:lang w:eastAsia="zh-CN"/>
        </w:rPr>
        <w:t>针对以上问题</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eastAsia="zh-CN"/>
        </w:rPr>
        <w:t>将</w:t>
      </w:r>
      <w:r>
        <w:rPr>
          <w:rFonts w:hint="eastAsia" w:ascii="Times New Roman" w:hAnsi="Times New Roman" w:eastAsia="方正仿宋_GBK" w:cs="方正仿宋_GBK"/>
          <w:sz w:val="32"/>
          <w:szCs w:val="32"/>
        </w:rPr>
        <w:t>采取以下改进措施：</w:t>
      </w:r>
    </w:p>
    <w:p>
      <w:pPr>
        <w:spacing w:line="600" w:lineRule="exact"/>
        <w:ind w:firstLine="642" w:firstLineChars="200"/>
        <w:rPr>
          <w:rFonts w:hint="eastAsia" w:ascii="Times New Roman" w:hAnsi="Times New Roman" w:eastAsia="方正黑体_GBK" w:cs="方正黑体_GBK"/>
          <w:sz w:val="32"/>
          <w:shd w:val="clear" w:color="auto" w:fill="FFFFFF"/>
        </w:rPr>
      </w:pPr>
      <w:r>
        <w:rPr>
          <w:rFonts w:hint="eastAsia" w:ascii="Times New Roman" w:hAnsi="Times New Roman" w:eastAsia="方正仿宋_GBK" w:cs="方正仿宋_GBK"/>
          <w:b/>
          <w:bCs/>
          <w:sz w:val="32"/>
          <w:szCs w:val="32"/>
          <w:lang w:val="en-US" w:eastAsia="zh-CN"/>
        </w:rPr>
        <w:t>一</w:t>
      </w:r>
      <w:r>
        <w:rPr>
          <w:rFonts w:hint="eastAsia" w:ascii="Times New Roman" w:hAnsi="Times New Roman" w:eastAsia="方正仿宋_GBK" w:cs="方正仿宋_GBK"/>
          <w:b/>
          <w:bCs/>
          <w:sz w:val="32"/>
          <w:szCs w:val="32"/>
        </w:rPr>
        <w:t>是</w:t>
      </w:r>
      <w:r>
        <w:rPr>
          <w:rFonts w:hint="eastAsia" w:ascii="Times New Roman" w:hAnsi="Times New Roman" w:eastAsia="方正仿宋_GBK" w:cs="方正仿宋_GBK"/>
          <w:sz w:val="32"/>
          <w:szCs w:val="32"/>
        </w:rPr>
        <w:t>坚持深化政策公开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聚焦</w:t>
      </w:r>
      <w:r>
        <w:rPr>
          <w:rFonts w:hint="eastAsia" w:ascii="Times New Roman" w:hAnsi="Times New Roman" w:eastAsia="方正仿宋_GBK" w:cs="方正仿宋_GBK"/>
          <w:sz w:val="32"/>
          <w:szCs w:val="32"/>
          <w:lang w:eastAsia="zh-CN"/>
        </w:rPr>
        <w:t>中心工作</w:t>
      </w:r>
      <w:r>
        <w:rPr>
          <w:rFonts w:hint="eastAsia" w:ascii="Times New Roman" w:hAnsi="Times New Roman" w:eastAsia="方正仿宋_GBK" w:cs="方正仿宋_GBK"/>
          <w:sz w:val="32"/>
          <w:szCs w:val="32"/>
        </w:rPr>
        <w:t>，第一时间发布</w:t>
      </w:r>
      <w:r>
        <w:rPr>
          <w:rFonts w:hint="eastAsia" w:ascii="Times New Roman" w:hAnsi="Times New Roman" w:eastAsia="方正仿宋_GBK" w:cs="方正仿宋_GBK"/>
          <w:sz w:val="32"/>
          <w:szCs w:val="32"/>
          <w:lang w:eastAsia="zh-CN"/>
        </w:rPr>
        <w:t>各类</w:t>
      </w:r>
      <w:r>
        <w:rPr>
          <w:rFonts w:hint="eastAsia" w:ascii="Times New Roman" w:hAnsi="Times New Roman" w:eastAsia="方正仿宋_GBK" w:cs="方正仿宋_GBK"/>
          <w:sz w:val="32"/>
          <w:szCs w:val="32"/>
        </w:rPr>
        <w:t>政策举措，</w:t>
      </w:r>
      <w:r>
        <w:rPr>
          <w:rFonts w:hint="eastAsia" w:ascii="Times New Roman" w:hAnsi="Times New Roman" w:eastAsia="方正仿宋_GBK" w:cs="方正仿宋_GBK"/>
          <w:sz w:val="32"/>
          <w:szCs w:val="32"/>
          <w:lang w:eastAsia="zh-CN"/>
        </w:rPr>
        <w:t>建好用好</w:t>
      </w:r>
      <w:r>
        <w:rPr>
          <w:rFonts w:hint="eastAsia" w:ascii="Times New Roman" w:hAnsi="Times New Roman" w:eastAsia="方正仿宋_GBK" w:cs="方正仿宋_GBK"/>
          <w:sz w:val="32"/>
          <w:szCs w:val="32"/>
        </w:rPr>
        <w:t>政策咨询问答库，</w:t>
      </w:r>
      <w:r>
        <w:rPr>
          <w:rFonts w:hint="eastAsia" w:ascii="Times New Roman" w:hAnsi="Times New Roman" w:eastAsia="方正仿宋_GBK" w:cs="方正仿宋_GBK"/>
          <w:sz w:val="32"/>
          <w:szCs w:val="32"/>
          <w:lang w:val="en-US" w:eastAsia="zh-CN"/>
        </w:rPr>
        <w:t>优化政策智能推送服务，变“人找政策”为“政策找人”，</w:t>
      </w:r>
      <w:r>
        <w:rPr>
          <w:rFonts w:hint="eastAsia" w:ascii="Times New Roman" w:hAnsi="Times New Roman" w:eastAsia="方正仿宋_GBK" w:cs="方正仿宋_GBK"/>
          <w:sz w:val="32"/>
          <w:szCs w:val="32"/>
        </w:rPr>
        <w:t>着力推动政策精准高效直达快享</w:t>
      </w:r>
      <w:r>
        <w:rPr>
          <w:rFonts w:hint="eastAsia" w:ascii="Times New Roman" w:hAnsi="Times New Roman" w:eastAsia="方正仿宋_GBK" w:cs="方正仿宋_GBK"/>
          <w:sz w:val="32"/>
          <w:szCs w:val="32"/>
          <w:lang w:eastAsia="zh-CN"/>
        </w:rPr>
        <w:t>，提高</w:t>
      </w:r>
      <w:r>
        <w:rPr>
          <w:rFonts w:hint="eastAsia" w:ascii="Times New Roman" w:hAnsi="Times New Roman" w:eastAsia="方正仿宋_GBK" w:cs="方正仿宋_GBK"/>
          <w:sz w:val="32"/>
          <w:szCs w:val="32"/>
        </w:rPr>
        <w:t>政策传播率、到达率</w:t>
      </w:r>
      <w:r>
        <w:rPr>
          <w:rFonts w:hint="eastAsia" w:ascii="Times New Roman" w:hAnsi="Times New Roman" w:eastAsia="方正仿宋_GBK" w:cs="方正仿宋_GBK"/>
          <w:sz w:val="32"/>
          <w:szCs w:val="32"/>
          <w:lang w:eastAsia="zh-CN"/>
        </w:rPr>
        <w:t>，推进</w:t>
      </w:r>
      <w:r>
        <w:rPr>
          <w:rFonts w:hint="eastAsia" w:ascii="Times New Roman" w:hAnsi="Times New Roman" w:eastAsia="方正仿宋_GBK" w:cs="方正仿宋_GBK"/>
          <w:sz w:val="32"/>
          <w:szCs w:val="32"/>
        </w:rPr>
        <w:t>政策落地落实。</w:t>
      </w:r>
      <w:r>
        <w:rPr>
          <w:rFonts w:hint="eastAsia" w:ascii="Times New Roman" w:hAnsi="Times New Roman" w:eastAsia="方正仿宋_GBK" w:cs="Times New Roman"/>
          <w:b/>
          <w:bCs/>
          <w:color w:val="000000"/>
          <w:kern w:val="2"/>
          <w:sz w:val="32"/>
          <w:szCs w:val="32"/>
          <w:lang w:val="en-US" w:eastAsia="zh-CN"/>
        </w:rPr>
        <w:t>二是</w:t>
      </w:r>
      <w:r>
        <w:rPr>
          <w:rFonts w:hint="eastAsia" w:ascii="Times New Roman" w:hAnsi="Times New Roman" w:eastAsia="方正仿宋_GBK" w:cs="Times New Roman"/>
          <w:color w:val="000000"/>
          <w:kern w:val="2"/>
          <w:sz w:val="32"/>
          <w:szCs w:val="32"/>
          <w:lang w:eastAsia="zh-CN"/>
        </w:rPr>
        <w:t>强化政策解读。</w:t>
      </w:r>
      <w:r>
        <w:rPr>
          <w:rFonts w:hint="eastAsia" w:ascii="Times New Roman" w:hAnsi="Times New Roman" w:eastAsia="方正仿宋_GBK" w:cs="方正仿宋_GBK"/>
          <w:sz w:val="32"/>
          <w:szCs w:val="32"/>
          <w:lang w:val="en-US" w:eastAsia="zh-CN"/>
        </w:rPr>
        <w:t>健全完善解读机制，规范解读程序，将政策解读与公文办理环节有机融合、协同推进。树立重视解读、强化解读的鲜明导向，</w:t>
      </w:r>
      <w:r>
        <w:rPr>
          <w:rFonts w:hint="eastAsia" w:ascii="Times New Roman" w:hAnsi="Times New Roman" w:eastAsia="方正仿宋_GBK"/>
          <w:bCs w:val="0"/>
          <w:color w:val="000000" w:themeColor="text1"/>
          <w:kern w:val="2"/>
          <w:sz w:val="32"/>
          <w:szCs w:val="32"/>
          <w:lang w:val="en-US" w:eastAsia="zh-CN"/>
          <w14:textFill>
            <w14:solidFill>
              <w14:schemeClr w14:val="tx1"/>
            </w14:solidFill>
          </w14:textFill>
        </w:rPr>
        <w:t>聚焦群众和企业需求</w:t>
      </w:r>
      <w:r>
        <w:rPr>
          <w:rFonts w:hint="eastAsia" w:ascii="Times New Roman" w:hAnsi="Times New Roman" w:eastAsia="方正仿宋_GBK" w:cs="方正仿宋_GBK"/>
          <w:sz w:val="32"/>
          <w:szCs w:val="32"/>
          <w:lang w:val="en-US" w:eastAsia="zh-CN"/>
        </w:rPr>
        <w:t>，更加注重运用问答、访谈、新闻发布会等方式开展实质性解读，准确传递政策意图，让政策更易懂、更亲民，不断提高政策解读质量。</w:t>
      </w:r>
      <w:r>
        <w:rPr>
          <w:rFonts w:hint="eastAsia" w:ascii="Times New Roman" w:hAnsi="Times New Roman" w:eastAsia="方正仿宋_GBK"/>
          <w:b/>
          <w:bCs/>
          <w:color w:val="000000" w:themeColor="text1"/>
          <w:kern w:val="2"/>
          <w:sz w:val="32"/>
          <w:szCs w:val="32"/>
          <w:lang w:val="en-US" w:eastAsia="zh-CN"/>
          <w14:textFill>
            <w14:solidFill>
              <w14:schemeClr w14:val="tx1"/>
            </w14:solidFill>
          </w14:textFill>
        </w:rPr>
        <w:t>三是</w:t>
      </w:r>
      <w:r>
        <w:rPr>
          <w:rFonts w:hint="eastAsia" w:ascii="Times New Roman" w:hAnsi="Times New Roman" w:eastAsia="方正仿宋_GBK"/>
          <w:bCs w:val="0"/>
          <w:color w:val="000000" w:themeColor="text1"/>
          <w:kern w:val="2"/>
          <w:sz w:val="32"/>
          <w:szCs w:val="32"/>
          <w:lang w:val="en-US" w:eastAsia="zh-CN"/>
          <w14:textFill>
            <w14:solidFill>
              <w14:schemeClr w14:val="tx1"/>
            </w14:solidFill>
          </w14:textFill>
        </w:rPr>
        <w:t>持续完善公开平台建设。</w:t>
      </w:r>
      <w:r>
        <w:rPr>
          <w:rFonts w:hint="eastAsia" w:ascii="Times New Roman" w:hAnsi="Times New Roman" w:eastAsia="方正仿宋_GBK" w:cs="Times New Roman"/>
          <w:color w:val="000000"/>
          <w:kern w:val="2"/>
          <w:sz w:val="32"/>
          <w:szCs w:val="32"/>
        </w:rPr>
        <w:t>加快构建以网上发布为主、其他发布渠道为辅的政务公开新格局</w:t>
      </w:r>
      <w:r>
        <w:rPr>
          <w:rFonts w:hint="eastAsia" w:ascii="Times New Roman" w:hAnsi="Times New Roman" w:eastAsia="方正仿宋_GBK" w:cs="Times New Roman"/>
          <w:color w:val="000000"/>
          <w:kern w:val="2"/>
          <w:sz w:val="32"/>
          <w:szCs w:val="32"/>
          <w:lang w:eastAsia="zh-CN"/>
        </w:rPr>
        <w:t>，</w:t>
      </w:r>
      <w:r>
        <w:rPr>
          <w:rFonts w:hint="eastAsia" w:ascii="Times New Roman" w:hAnsi="Times New Roman" w:eastAsia="方正仿宋_GBK"/>
          <w:bCs w:val="0"/>
          <w:color w:val="000000" w:themeColor="text1"/>
          <w:kern w:val="2"/>
          <w:sz w:val="32"/>
          <w:szCs w:val="32"/>
          <w:lang w:val="en-US" w:eastAsia="zh-CN"/>
          <w14:textFill>
            <w14:solidFill>
              <w14:schemeClr w14:val="tx1"/>
            </w14:solidFill>
          </w14:textFill>
        </w:rPr>
        <w:t>积极运用数字化技术、数字化思维和数字化认知，</w:t>
      </w:r>
      <w:r>
        <w:rPr>
          <w:rFonts w:hint="eastAsia" w:ascii="Times New Roman" w:hAnsi="Times New Roman" w:eastAsia="方正仿宋_GBK" w:cs="Times New Roman"/>
          <w:color w:val="000000"/>
          <w:kern w:val="2"/>
          <w:sz w:val="32"/>
          <w:szCs w:val="32"/>
        </w:rPr>
        <w:t>推进政务新媒体与政府网站互联互通、融合发展，</w:t>
      </w:r>
      <w:r>
        <w:rPr>
          <w:rFonts w:hint="eastAsia" w:ascii="Times New Roman" w:hAnsi="Times New Roman" w:eastAsia="方正仿宋_GBK"/>
          <w:bCs w:val="0"/>
          <w:color w:val="000000" w:themeColor="text1"/>
          <w:kern w:val="2"/>
          <w:sz w:val="32"/>
          <w:szCs w:val="32"/>
          <w:lang w:val="en-US" w:eastAsia="zh-CN"/>
          <w14:textFill>
            <w14:solidFill>
              <w14:schemeClr w14:val="tx1"/>
            </w14:solidFill>
          </w14:textFill>
        </w:rPr>
        <w:t>不断增强公开平台实用性、便捷性、亲民性。</w:t>
      </w:r>
    </w:p>
    <w:p>
      <w:pPr>
        <w:spacing w:line="600" w:lineRule="exact"/>
        <w:ind w:firstLine="640" w:firstLineChars="200"/>
        <w:rPr>
          <w:rFonts w:ascii="Times New Roman" w:hAnsi="Times New Roman" w:eastAsia="方正黑体_GBK" w:cs="方正黑体_GBK"/>
          <w:sz w:val="32"/>
          <w:shd w:val="clear" w:color="auto" w:fill="FFFFFF"/>
        </w:rPr>
      </w:pPr>
      <w:r>
        <w:rPr>
          <w:rFonts w:hint="eastAsia" w:ascii="Times New Roman" w:hAnsi="Times New Roman" w:eastAsia="方正黑体_GBK" w:cs="方正黑体_GBK"/>
          <w:sz w:val="32"/>
          <w:shd w:val="clear" w:color="auto" w:fill="FFFFFF"/>
        </w:rPr>
        <w:t>六、其他需要报告的事项</w:t>
      </w:r>
    </w:p>
    <w:p>
      <w:pPr>
        <w:spacing w:line="600" w:lineRule="exact"/>
        <w:ind w:firstLine="640" w:firstLineChars="200"/>
        <w:rPr>
          <w:rFonts w:ascii="Times New Roman" w:hAnsi="Times New Roman" w:eastAsia="方正仿宋_GBK"/>
          <w:sz w:val="32"/>
          <w:shd w:val="clear" w:color="auto" w:fill="FFFFFF"/>
        </w:rPr>
      </w:pPr>
      <w:r>
        <w:rPr>
          <w:rFonts w:hint="eastAsia" w:ascii="Times New Roman" w:hAnsi="Times New Roman" w:eastAsia="方正仿宋_GBK"/>
          <w:sz w:val="32"/>
          <w:shd w:val="clear" w:color="auto" w:fill="FFFFFF"/>
        </w:rPr>
        <w:t>本机关严格落实《政府信息公开条例》和党中央、国务院</w:t>
      </w:r>
      <w:r>
        <w:rPr>
          <w:rFonts w:hint="eastAsia" w:ascii="Times New Roman" w:hAnsi="Times New Roman" w:eastAsia="方正仿宋_GBK"/>
          <w:sz w:val="32"/>
          <w:shd w:val="clear" w:color="auto" w:fill="FFFFFF"/>
          <w:lang w:eastAsia="zh-CN"/>
        </w:rPr>
        <w:t>有关</w:t>
      </w:r>
      <w:r>
        <w:rPr>
          <w:rFonts w:hint="eastAsia" w:ascii="Times New Roman" w:hAnsi="Times New Roman" w:eastAsia="方正仿宋_GBK"/>
          <w:sz w:val="32"/>
          <w:shd w:val="clear" w:color="auto" w:fill="FFFFFF"/>
        </w:rPr>
        <w:t>决策部署，完成政务公开各项工作。本机关</w:t>
      </w:r>
      <w:r>
        <w:rPr>
          <w:rFonts w:hint="eastAsia" w:ascii="Times New Roman" w:hAnsi="Times New Roman" w:eastAsia="方正仿宋_GBK"/>
          <w:sz w:val="32"/>
          <w:shd w:val="clear" w:color="auto" w:fill="FFFFFF"/>
          <w:lang w:eastAsia="zh-CN"/>
        </w:rPr>
        <w:t>本年度</w:t>
      </w:r>
      <w:r>
        <w:rPr>
          <w:rFonts w:hint="eastAsia" w:ascii="Times New Roman" w:hAnsi="Times New Roman" w:eastAsia="方正仿宋_GBK"/>
          <w:sz w:val="32"/>
          <w:shd w:val="clear" w:color="auto" w:fill="FFFFFF"/>
        </w:rPr>
        <w:t>未收取信息处理费。</w:t>
      </w:r>
    </w:p>
    <w:p>
      <w:pPr>
        <w:spacing w:line="600" w:lineRule="exact"/>
        <w:ind w:firstLine="640" w:firstLineChars="200"/>
        <w:rPr>
          <w:rFonts w:ascii="Times New Roman" w:hAnsi="Times New Roman" w:eastAsia="方正仿宋_GBK"/>
          <w:sz w:val="32"/>
          <w:shd w:val="clear" w:color="auto" w:fill="FFFFFF"/>
        </w:rPr>
      </w:pPr>
      <w:r>
        <w:rPr>
          <w:rFonts w:hint="eastAsia" w:ascii="Times New Roman" w:hAnsi="Times New Roman" w:eastAsia="方正仿宋_GBK"/>
          <w:sz w:val="32"/>
          <w:shd w:val="clear" w:color="auto" w:fill="FFFFFF"/>
        </w:rPr>
        <w:t>重庆市人民政府门户网站网址为http://www.cq.gov.cn，如需了解更多政府信息，请登录查询。</w:t>
      </w:r>
    </w:p>
    <w:sectPr>
      <w:footerReference r:id="rId3" w:type="default"/>
      <w:pgSz w:w="11906" w:h="16838"/>
      <w:pgMar w:top="2098" w:right="1474" w:bottom="1984" w:left="1587" w:header="850"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w:altName w:val="DejaVu Sans"/>
    <w:panose1 w:val="020B0604020202020204"/>
    <w:charset w:val="00"/>
    <w:family w:val="swiss"/>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0000000" w:usb3="00000000" w:csb0="2000019F" w:csb1="00000000"/>
  </w:font>
  <w:font w:name="Liberation Sans">
    <w:altName w:val="Noto Serif CJK JP"/>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YzM2OTYwMzAwZmZiYjc2MzAzZWJhNTBhNTBmNTEifQ=="/>
  </w:docVars>
  <w:rsids>
    <w:rsidRoot w:val="00670721"/>
    <w:rsid w:val="0000236D"/>
    <w:rsid w:val="000048D0"/>
    <w:rsid w:val="00004D30"/>
    <w:rsid w:val="00014E24"/>
    <w:rsid w:val="00017822"/>
    <w:rsid w:val="00021A66"/>
    <w:rsid w:val="0002288F"/>
    <w:rsid w:val="00046CED"/>
    <w:rsid w:val="00056DC4"/>
    <w:rsid w:val="00060B51"/>
    <w:rsid w:val="00064CBD"/>
    <w:rsid w:val="00076249"/>
    <w:rsid w:val="00076C58"/>
    <w:rsid w:val="000819A9"/>
    <w:rsid w:val="00083E7A"/>
    <w:rsid w:val="000874A5"/>
    <w:rsid w:val="00091736"/>
    <w:rsid w:val="00094E27"/>
    <w:rsid w:val="000B0151"/>
    <w:rsid w:val="000D3EBF"/>
    <w:rsid w:val="000E5662"/>
    <w:rsid w:val="000E62B1"/>
    <w:rsid w:val="000F181F"/>
    <w:rsid w:val="00116AE0"/>
    <w:rsid w:val="00122024"/>
    <w:rsid w:val="00122E38"/>
    <w:rsid w:val="00123A24"/>
    <w:rsid w:val="001532DD"/>
    <w:rsid w:val="00154481"/>
    <w:rsid w:val="00154E93"/>
    <w:rsid w:val="00155A80"/>
    <w:rsid w:val="00157D0E"/>
    <w:rsid w:val="00167D42"/>
    <w:rsid w:val="00171271"/>
    <w:rsid w:val="001743E4"/>
    <w:rsid w:val="001800A7"/>
    <w:rsid w:val="00187044"/>
    <w:rsid w:val="0019086A"/>
    <w:rsid w:val="001954AF"/>
    <w:rsid w:val="00196057"/>
    <w:rsid w:val="001A44E6"/>
    <w:rsid w:val="001A792D"/>
    <w:rsid w:val="001B58E4"/>
    <w:rsid w:val="001C276C"/>
    <w:rsid w:val="001C436B"/>
    <w:rsid w:val="001D247B"/>
    <w:rsid w:val="001E24D7"/>
    <w:rsid w:val="001F0196"/>
    <w:rsid w:val="001F143B"/>
    <w:rsid w:val="0020302E"/>
    <w:rsid w:val="00203071"/>
    <w:rsid w:val="00210E41"/>
    <w:rsid w:val="00212146"/>
    <w:rsid w:val="0022579C"/>
    <w:rsid w:val="002402E9"/>
    <w:rsid w:val="002572F5"/>
    <w:rsid w:val="002614D0"/>
    <w:rsid w:val="00267629"/>
    <w:rsid w:val="002705C6"/>
    <w:rsid w:val="002872D6"/>
    <w:rsid w:val="002A2D7E"/>
    <w:rsid w:val="002B3963"/>
    <w:rsid w:val="002C257F"/>
    <w:rsid w:val="002C47D6"/>
    <w:rsid w:val="002C753E"/>
    <w:rsid w:val="002D516A"/>
    <w:rsid w:val="002D78F2"/>
    <w:rsid w:val="002D7E72"/>
    <w:rsid w:val="002E2BA3"/>
    <w:rsid w:val="002E6526"/>
    <w:rsid w:val="002F397A"/>
    <w:rsid w:val="002F3E4B"/>
    <w:rsid w:val="002F439D"/>
    <w:rsid w:val="003159B0"/>
    <w:rsid w:val="00320477"/>
    <w:rsid w:val="003224EA"/>
    <w:rsid w:val="003329FE"/>
    <w:rsid w:val="003332C8"/>
    <w:rsid w:val="003341EF"/>
    <w:rsid w:val="00334E30"/>
    <w:rsid w:val="00337B6C"/>
    <w:rsid w:val="00352520"/>
    <w:rsid w:val="00361D78"/>
    <w:rsid w:val="003629B1"/>
    <w:rsid w:val="00364624"/>
    <w:rsid w:val="003777F7"/>
    <w:rsid w:val="003862EA"/>
    <w:rsid w:val="00392816"/>
    <w:rsid w:val="00393606"/>
    <w:rsid w:val="003B2E23"/>
    <w:rsid w:val="003C24D0"/>
    <w:rsid w:val="003C628F"/>
    <w:rsid w:val="003F4D87"/>
    <w:rsid w:val="0040108E"/>
    <w:rsid w:val="00413151"/>
    <w:rsid w:val="00416E8B"/>
    <w:rsid w:val="004171A5"/>
    <w:rsid w:val="004317E7"/>
    <w:rsid w:val="00445DCA"/>
    <w:rsid w:val="00445F61"/>
    <w:rsid w:val="00451FED"/>
    <w:rsid w:val="00454A8A"/>
    <w:rsid w:val="0045505D"/>
    <w:rsid w:val="00456B43"/>
    <w:rsid w:val="00457844"/>
    <w:rsid w:val="0046137C"/>
    <w:rsid w:val="004614C1"/>
    <w:rsid w:val="004641FE"/>
    <w:rsid w:val="00470044"/>
    <w:rsid w:val="00472FC0"/>
    <w:rsid w:val="00483A29"/>
    <w:rsid w:val="0049385B"/>
    <w:rsid w:val="004A5709"/>
    <w:rsid w:val="004B1A92"/>
    <w:rsid w:val="004B31DF"/>
    <w:rsid w:val="004B538E"/>
    <w:rsid w:val="004C4648"/>
    <w:rsid w:val="004D0FA1"/>
    <w:rsid w:val="004D10C7"/>
    <w:rsid w:val="004D410E"/>
    <w:rsid w:val="004D65AE"/>
    <w:rsid w:val="004E7555"/>
    <w:rsid w:val="004F0B22"/>
    <w:rsid w:val="004F0C84"/>
    <w:rsid w:val="004F2A41"/>
    <w:rsid w:val="00504B42"/>
    <w:rsid w:val="00527153"/>
    <w:rsid w:val="00547F4D"/>
    <w:rsid w:val="00550281"/>
    <w:rsid w:val="00555824"/>
    <w:rsid w:val="00555B39"/>
    <w:rsid w:val="00574409"/>
    <w:rsid w:val="005752CA"/>
    <w:rsid w:val="00587074"/>
    <w:rsid w:val="00591810"/>
    <w:rsid w:val="00597A69"/>
    <w:rsid w:val="005A19DA"/>
    <w:rsid w:val="005B22EC"/>
    <w:rsid w:val="005C7794"/>
    <w:rsid w:val="005D25B0"/>
    <w:rsid w:val="005D3920"/>
    <w:rsid w:val="005D4F4B"/>
    <w:rsid w:val="005D7DF6"/>
    <w:rsid w:val="005E227E"/>
    <w:rsid w:val="005F0037"/>
    <w:rsid w:val="005F0944"/>
    <w:rsid w:val="005F60B1"/>
    <w:rsid w:val="005F7559"/>
    <w:rsid w:val="00600E1E"/>
    <w:rsid w:val="00603CC4"/>
    <w:rsid w:val="00614539"/>
    <w:rsid w:val="00616C63"/>
    <w:rsid w:val="006171A7"/>
    <w:rsid w:val="0062433C"/>
    <w:rsid w:val="006262EB"/>
    <w:rsid w:val="00634CCA"/>
    <w:rsid w:val="0064665F"/>
    <w:rsid w:val="00654EBE"/>
    <w:rsid w:val="00656A56"/>
    <w:rsid w:val="00656D91"/>
    <w:rsid w:val="006642C1"/>
    <w:rsid w:val="00670721"/>
    <w:rsid w:val="0067624F"/>
    <w:rsid w:val="00681F26"/>
    <w:rsid w:val="006936E6"/>
    <w:rsid w:val="006A7570"/>
    <w:rsid w:val="006B114A"/>
    <w:rsid w:val="006D10A9"/>
    <w:rsid w:val="006E27BA"/>
    <w:rsid w:val="00710D28"/>
    <w:rsid w:val="007116F4"/>
    <w:rsid w:val="00712267"/>
    <w:rsid w:val="007164DE"/>
    <w:rsid w:val="00741856"/>
    <w:rsid w:val="00756E7A"/>
    <w:rsid w:val="007622BA"/>
    <w:rsid w:val="00764939"/>
    <w:rsid w:val="00766B68"/>
    <w:rsid w:val="00767620"/>
    <w:rsid w:val="00771E55"/>
    <w:rsid w:val="007901DB"/>
    <w:rsid w:val="00794171"/>
    <w:rsid w:val="007A16BD"/>
    <w:rsid w:val="007A556A"/>
    <w:rsid w:val="007B200F"/>
    <w:rsid w:val="007B77BE"/>
    <w:rsid w:val="007C443F"/>
    <w:rsid w:val="007D0072"/>
    <w:rsid w:val="007D2AA2"/>
    <w:rsid w:val="007D7762"/>
    <w:rsid w:val="007E0526"/>
    <w:rsid w:val="008075FD"/>
    <w:rsid w:val="00812229"/>
    <w:rsid w:val="008173D0"/>
    <w:rsid w:val="00820CB6"/>
    <w:rsid w:val="008227AD"/>
    <w:rsid w:val="00827E59"/>
    <w:rsid w:val="00833603"/>
    <w:rsid w:val="00851388"/>
    <w:rsid w:val="00851CB6"/>
    <w:rsid w:val="00857A7E"/>
    <w:rsid w:val="00860E9C"/>
    <w:rsid w:val="00872DB9"/>
    <w:rsid w:val="0088361B"/>
    <w:rsid w:val="00886A57"/>
    <w:rsid w:val="00887D52"/>
    <w:rsid w:val="008A2CE3"/>
    <w:rsid w:val="008A64C5"/>
    <w:rsid w:val="008A6B72"/>
    <w:rsid w:val="008B6636"/>
    <w:rsid w:val="008B760F"/>
    <w:rsid w:val="008E4189"/>
    <w:rsid w:val="008F0B57"/>
    <w:rsid w:val="0092476C"/>
    <w:rsid w:val="009334B6"/>
    <w:rsid w:val="0094304C"/>
    <w:rsid w:val="00946228"/>
    <w:rsid w:val="00967016"/>
    <w:rsid w:val="009770F5"/>
    <w:rsid w:val="00990643"/>
    <w:rsid w:val="0099605B"/>
    <w:rsid w:val="009B67C6"/>
    <w:rsid w:val="009C2BD0"/>
    <w:rsid w:val="009C769F"/>
    <w:rsid w:val="009D13A7"/>
    <w:rsid w:val="009D600B"/>
    <w:rsid w:val="009E16BD"/>
    <w:rsid w:val="009E39BF"/>
    <w:rsid w:val="009F13DE"/>
    <w:rsid w:val="009F22EF"/>
    <w:rsid w:val="009F73B0"/>
    <w:rsid w:val="00A27583"/>
    <w:rsid w:val="00A401FD"/>
    <w:rsid w:val="00A57389"/>
    <w:rsid w:val="00A60F97"/>
    <w:rsid w:val="00A763D3"/>
    <w:rsid w:val="00A9164F"/>
    <w:rsid w:val="00A9411A"/>
    <w:rsid w:val="00A9789C"/>
    <w:rsid w:val="00AA4592"/>
    <w:rsid w:val="00AB5ED9"/>
    <w:rsid w:val="00AC3587"/>
    <w:rsid w:val="00AD2F4B"/>
    <w:rsid w:val="00AD7CB9"/>
    <w:rsid w:val="00AE2CB8"/>
    <w:rsid w:val="00AF6136"/>
    <w:rsid w:val="00B015A1"/>
    <w:rsid w:val="00B14E22"/>
    <w:rsid w:val="00B15690"/>
    <w:rsid w:val="00B20A82"/>
    <w:rsid w:val="00B429E3"/>
    <w:rsid w:val="00B50970"/>
    <w:rsid w:val="00B538EE"/>
    <w:rsid w:val="00B57408"/>
    <w:rsid w:val="00B57496"/>
    <w:rsid w:val="00B721BE"/>
    <w:rsid w:val="00B9247E"/>
    <w:rsid w:val="00B942B3"/>
    <w:rsid w:val="00BC2102"/>
    <w:rsid w:val="00BC4792"/>
    <w:rsid w:val="00BC4C20"/>
    <w:rsid w:val="00BC74DC"/>
    <w:rsid w:val="00BC7CA1"/>
    <w:rsid w:val="00BD3E4C"/>
    <w:rsid w:val="00BD4101"/>
    <w:rsid w:val="00BE034C"/>
    <w:rsid w:val="00BE58D6"/>
    <w:rsid w:val="00C047E9"/>
    <w:rsid w:val="00C20C8D"/>
    <w:rsid w:val="00C324E1"/>
    <w:rsid w:val="00C3347E"/>
    <w:rsid w:val="00C469BC"/>
    <w:rsid w:val="00C46B9A"/>
    <w:rsid w:val="00C634AC"/>
    <w:rsid w:val="00C63E5F"/>
    <w:rsid w:val="00C66314"/>
    <w:rsid w:val="00C721F5"/>
    <w:rsid w:val="00C87ED3"/>
    <w:rsid w:val="00C902C7"/>
    <w:rsid w:val="00CA26B2"/>
    <w:rsid w:val="00CA7FE8"/>
    <w:rsid w:val="00CB567D"/>
    <w:rsid w:val="00CB79B1"/>
    <w:rsid w:val="00CB7C80"/>
    <w:rsid w:val="00CC13C9"/>
    <w:rsid w:val="00CC36F4"/>
    <w:rsid w:val="00CD6492"/>
    <w:rsid w:val="00CE19F1"/>
    <w:rsid w:val="00CE2C3A"/>
    <w:rsid w:val="00CE3473"/>
    <w:rsid w:val="00CF319D"/>
    <w:rsid w:val="00CF4AFD"/>
    <w:rsid w:val="00D00070"/>
    <w:rsid w:val="00D00D51"/>
    <w:rsid w:val="00D055BE"/>
    <w:rsid w:val="00D0782E"/>
    <w:rsid w:val="00D13A67"/>
    <w:rsid w:val="00D16CE4"/>
    <w:rsid w:val="00D21D28"/>
    <w:rsid w:val="00D307D7"/>
    <w:rsid w:val="00D35FD2"/>
    <w:rsid w:val="00D50C2A"/>
    <w:rsid w:val="00D5258A"/>
    <w:rsid w:val="00D56E63"/>
    <w:rsid w:val="00D66E83"/>
    <w:rsid w:val="00D67B1B"/>
    <w:rsid w:val="00D7071E"/>
    <w:rsid w:val="00D81805"/>
    <w:rsid w:val="00D81EAF"/>
    <w:rsid w:val="00D84358"/>
    <w:rsid w:val="00D901D8"/>
    <w:rsid w:val="00D92582"/>
    <w:rsid w:val="00D93C2F"/>
    <w:rsid w:val="00DA5152"/>
    <w:rsid w:val="00DB2450"/>
    <w:rsid w:val="00DC6002"/>
    <w:rsid w:val="00DC6FFB"/>
    <w:rsid w:val="00DC70E3"/>
    <w:rsid w:val="00DC7A0F"/>
    <w:rsid w:val="00DD2C25"/>
    <w:rsid w:val="00DD5CAE"/>
    <w:rsid w:val="00DD5E87"/>
    <w:rsid w:val="00DE1DDD"/>
    <w:rsid w:val="00DE7A37"/>
    <w:rsid w:val="00E06603"/>
    <w:rsid w:val="00E1624D"/>
    <w:rsid w:val="00E2601E"/>
    <w:rsid w:val="00E30859"/>
    <w:rsid w:val="00E425A6"/>
    <w:rsid w:val="00E52711"/>
    <w:rsid w:val="00E60935"/>
    <w:rsid w:val="00E619F7"/>
    <w:rsid w:val="00E649BE"/>
    <w:rsid w:val="00E706CD"/>
    <w:rsid w:val="00E71D5A"/>
    <w:rsid w:val="00E723B0"/>
    <w:rsid w:val="00E74FBC"/>
    <w:rsid w:val="00E81C2E"/>
    <w:rsid w:val="00E8449A"/>
    <w:rsid w:val="00E867CD"/>
    <w:rsid w:val="00EA15C3"/>
    <w:rsid w:val="00EB08F5"/>
    <w:rsid w:val="00EB28B6"/>
    <w:rsid w:val="00EB40D9"/>
    <w:rsid w:val="00EB5529"/>
    <w:rsid w:val="00EC3550"/>
    <w:rsid w:val="00EC4EF3"/>
    <w:rsid w:val="00EC5516"/>
    <w:rsid w:val="00ED3DA1"/>
    <w:rsid w:val="00ED4AA9"/>
    <w:rsid w:val="00EE6A5C"/>
    <w:rsid w:val="00EE74BE"/>
    <w:rsid w:val="00EF63A3"/>
    <w:rsid w:val="00F04828"/>
    <w:rsid w:val="00F04EA2"/>
    <w:rsid w:val="00F05341"/>
    <w:rsid w:val="00F0687C"/>
    <w:rsid w:val="00F113EA"/>
    <w:rsid w:val="00F14A66"/>
    <w:rsid w:val="00F167B1"/>
    <w:rsid w:val="00F23A58"/>
    <w:rsid w:val="00F24926"/>
    <w:rsid w:val="00F24D21"/>
    <w:rsid w:val="00F34A43"/>
    <w:rsid w:val="00F6067E"/>
    <w:rsid w:val="00F704F9"/>
    <w:rsid w:val="00F720DA"/>
    <w:rsid w:val="00F7386F"/>
    <w:rsid w:val="00F769FE"/>
    <w:rsid w:val="00F8217C"/>
    <w:rsid w:val="00F84DD1"/>
    <w:rsid w:val="00F87152"/>
    <w:rsid w:val="00F92B55"/>
    <w:rsid w:val="00FB65FC"/>
    <w:rsid w:val="00FC5F2A"/>
    <w:rsid w:val="00FC7C53"/>
    <w:rsid w:val="00FD0AD7"/>
    <w:rsid w:val="00FD5732"/>
    <w:rsid w:val="00FD7495"/>
    <w:rsid w:val="00FE49EE"/>
    <w:rsid w:val="00FE5A19"/>
    <w:rsid w:val="00FF0898"/>
    <w:rsid w:val="00FF3175"/>
    <w:rsid w:val="00FF5709"/>
    <w:rsid w:val="00FF5940"/>
    <w:rsid w:val="00FF5BAB"/>
    <w:rsid w:val="00FF6C48"/>
    <w:rsid w:val="00FF7F23"/>
    <w:rsid w:val="01FB17C8"/>
    <w:rsid w:val="06734701"/>
    <w:rsid w:val="0707755E"/>
    <w:rsid w:val="09A65473"/>
    <w:rsid w:val="0ABFBB6E"/>
    <w:rsid w:val="0B391054"/>
    <w:rsid w:val="0B76D9F9"/>
    <w:rsid w:val="0BBDFC99"/>
    <w:rsid w:val="0D7C7902"/>
    <w:rsid w:val="0DA9DD67"/>
    <w:rsid w:val="0EEB296B"/>
    <w:rsid w:val="0F7A12D1"/>
    <w:rsid w:val="0FD2CA10"/>
    <w:rsid w:val="0FDBD9AF"/>
    <w:rsid w:val="0FFC6639"/>
    <w:rsid w:val="116B4DD9"/>
    <w:rsid w:val="12853AA5"/>
    <w:rsid w:val="12F393E2"/>
    <w:rsid w:val="13F38B17"/>
    <w:rsid w:val="15D9BAF9"/>
    <w:rsid w:val="15FF73B2"/>
    <w:rsid w:val="176E5653"/>
    <w:rsid w:val="17CF0C93"/>
    <w:rsid w:val="17FF3FEA"/>
    <w:rsid w:val="18BFBA86"/>
    <w:rsid w:val="1936333E"/>
    <w:rsid w:val="19946B38"/>
    <w:rsid w:val="1ABFE2BC"/>
    <w:rsid w:val="1BE7E68E"/>
    <w:rsid w:val="1BEBAD48"/>
    <w:rsid w:val="1D6FF0DE"/>
    <w:rsid w:val="1DFEC343"/>
    <w:rsid w:val="1EBEB61A"/>
    <w:rsid w:val="1EE7D290"/>
    <w:rsid w:val="1EF2CAEA"/>
    <w:rsid w:val="1EF356C3"/>
    <w:rsid w:val="1EF64600"/>
    <w:rsid w:val="1EFF0C31"/>
    <w:rsid w:val="1EFF142C"/>
    <w:rsid w:val="1F3A05CF"/>
    <w:rsid w:val="1F7F6839"/>
    <w:rsid w:val="1F8FC89A"/>
    <w:rsid w:val="1FBD8476"/>
    <w:rsid w:val="1FDF0316"/>
    <w:rsid w:val="1FEE5ADE"/>
    <w:rsid w:val="1FEF3B42"/>
    <w:rsid w:val="1FEF5F54"/>
    <w:rsid w:val="1FF74FEB"/>
    <w:rsid w:val="1FFF98F8"/>
    <w:rsid w:val="1FFFBACB"/>
    <w:rsid w:val="22886BF5"/>
    <w:rsid w:val="22C454D3"/>
    <w:rsid w:val="23EBFAB2"/>
    <w:rsid w:val="23F57649"/>
    <w:rsid w:val="245F7A37"/>
    <w:rsid w:val="24DC74A4"/>
    <w:rsid w:val="256E5B41"/>
    <w:rsid w:val="25EA3E48"/>
    <w:rsid w:val="27FABD7C"/>
    <w:rsid w:val="27FEF805"/>
    <w:rsid w:val="27FF5DC2"/>
    <w:rsid w:val="2975613D"/>
    <w:rsid w:val="297FF828"/>
    <w:rsid w:val="2A03602E"/>
    <w:rsid w:val="2BFD555B"/>
    <w:rsid w:val="2CC1297B"/>
    <w:rsid w:val="2D1F5407"/>
    <w:rsid w:val="2D3649C6"/>
    <w:rsid w:val="2DB3C543"/>
    <w:rsid w:val="2DFBFC9B"/>
    <w:rsid w:val="2DFDB7D3"/>
    <w:rsid w:val="2DFEF193"/>
    <w:rsid w:val="2DFF5C3C"/>
    <w:rsid w:val="2E3B7E22"/>
    <w:rsid w:val="2EBF5EF8"/>
    <w:rsid w:val="2EEF7D50"/>
    <w:rsid w:val="2EFD218B"/>
    <w:rsid w:val="2F2A9BB5"/>
    <w:rsid w:val="2FBE627A"/>
    <w:rsid w:val="2FC975AB"/>
    <w:rsid w:val="2FF81806"/>
    <w:rsid w:val="2FFBF9FA"/>
    <w:rsid w:val="2FFE9688"/>
    <w:rsid w:val="2FFF0B56"/>
    <w:rsid w:val="2FFF40C3"/>
    <w:rsid w:val="3137E8AE"/>
    <w:rsid w:val="31556273"/>
    <w:rsid w:val="31AB60EF"/>
    <w:rsid w:val="329D3326"/>
    <w:rsid w:val="330B8DEF"/>
    <w:rsid w:val="33BE5EA8"/>
    <w:rsid w:val="33D7D1D9"/>
    <w:rsid w:val="33F8FC49"/>
    <w:rsid w:val="33FE1B3F"/>
    <w:rsid w:val="34BDD625"/>
    <w:rsid w:val="34F4195F"/>
    <w:rsid w:val="355C3C76"/>
    <w:rsid w:val="355ECF88"/>
    <w:rsid w:val="35BD891C"/>
    <w:rsid w:val="35FB4A47"/>
    <w:rsid w:val="35FCAB20"/>
    <w:rsid w:val="35FD26E2"/>
    <w:rsid w:val="363C876C"/>
    <w:rsid w:val="36C72A66"/>
    <w:rsid w:val="36FE06F5"/>
    <w:rsid w:val="371DFCF2"/>
    <w:rsid w:val="372069D9"/>
    <w:rsid w:val="373E8898"/>
    <w:rsid w:val="373F1E7B"/>
    <w:rsid w:val="3747FE28"/>
    <w:rsid w:val="3755A458"/>
    <w:rsid w:val="379F2CD9"/>
    <w:rsid w:val="37B9DFAB"/>
    <w:rsid w:val="37D5CC0F"/>
    <w:rsid w:val="37D71474"/>
    <w:rsid w:val="37D758AD"/>
    <w:rsid w:val="37F28611"/>
    <w:rsid w:val="37FC64E4"/>
    <w:rsid w:val="37FE107E"/>
    <w:rsid w:val="387B49D4"/>
    <w:rsid w:val="39ACBA77"/>
    <w:rsid w:val="3A3F075B"/>
    <w:rsid w:val="3A879478"/>
    <w:rsid w:val="3AF74CAB"/>
    <w:rsid w:val="3B6F5023"/>
    <w:rsid w:val="3B915414"/>
    <w:rsid w:val="3B9F3056"/>
    <w:rsid w:val="3BCE07BD"/>
    <w:rsid w:val="3BD93416"/>
    <w:rsid w:val="3BDE42E5"/>
    <w:rsid w:val="3BDF6EC7"/>
    <w:rsid w:val="3BF6DCE3"/>
    <w:rsid w:val="3BF753F0"/>
    <w:rsid w:val="3BFB790E"/>
    <w:rsid w:val="3BFF1391"/>
    <w:rsid w:val="3BFFFA35"/>
    <w:rsid w:val="3C57ED3B"/>
    <w:rsid w:val="3C5FE4B2"/>
    <w:rsid w:val="3CF717D8"/>
    <w:rsid w:val="3D73E81F"/>
    <w:rsid w:val="3D7D7ABE"/>
    <w:rsid w:val="3DEDC037"/>
    <w:rsid w:val="3DEF8547"/>
    <w:rsid w:val="3DF51E55"/>
    <w:rsid w:val="3DF6A0B7"/>
    <w:rsid w:val="3DFBA328"/>
    <w:rsid w:val="3DFC0153"/>
    <w:rsid w:val="3DFD4E20"/>
    <w:rsid w:val="3DFFA85E"/>
    <w:rsid w:val="3E99447C"/>
    <w:rsid w:val="3EB72BC9"/>
    <w:rsid w:val="3EBB777E"/>
    <w:rsid w:val="3ED7141D"/>
    <w:rsid w:val="3EF7810F"/>
    <w:rsid w:val="3EF98A2C"/>
    <w:rsid w:val="3EFD14C0"/>
    <w:rsid w:val="3EFD5386"/>
    <w:rsid w:val="3EFF588D"/>
    <w:rsid w:val="3F2FEC00"/>
    <w:rsid w:val="3F3FA144"/>
    <w:rsid w:val="3F45F0A7"/>
    <w:rsid w:val="3F4EBBFE"/>
    <w:rsid w:val="3F5F09E4"/>
    <w:rsid w:val="3F5F378B"/>
    <w:rsid w:val="3F605866"/>
    <w:rsid w:val="3F633C4F"/>
    <w:rsid w:val="3F6FDAA1"/>
    <w:rsid w:val="3F7DF66B"/>
    <w:rsid w:val="3F7E14BB"/>
    <w:rsid w:val="3F7FCA6D"/>
    <w:rsid w:val="3F7FCD66"/>
    <w:rsid w:val="3F9F6209"/>
    <w:rsid w:val="3FAFF9DD"/>
    <w:rsid w:val="3FBB0303"/>
    <w:rsid w:val="3FBBCE20"/>
    <w:rsid w:val="3FBED29E"/>
    <w:rsid w:val="3FBF175B"/>
    <w:rsid w:val="3FCAC167"/>
    <w:rsid w:val="3FDB87E7"/>
    <w:rsid w:val="3FDB9C83"/>
    <w:rsid w:val="3FDDE572"/>
    <w:rsid w:val="3FE70F31"/>
    <w:rsid w:val="3FEC54CB"/>
    <w:rsid w:val="3FEDD92F"/>
    <w:rsid w:val="3FF2596F"/>
    <w:rsid w:val="3FF31F44"/>
    <w:rsid w:val="3FF357ED"/>
    <w:rsid w:val="3FF8FF23"/>
    <w:rsid w:val="3FFD35C1"/>
    <w:rsid w:val="3FFE3269"/>
    <w:rsid w:val="3FFE6677"/>
    <w:rsid w:val="3FFEEE55"/>
    <w:rsid w:val="3FFF5680"/>
    <w:rsid w:val="41666EFB"/>
    <w:rsid w:val="437FBBFF"/>
    <w:rsid w:val="43AE7BC2"/>
    <w:rsid w:val="43B393FC"/>
    <w:rsid w:val="43BFB95C"/>
    <w:rsid w:val="44A41CDC"/>
    <w:rsid w:val="4537023C"/>
    <w:rsid w:val="46FD1670"/>
    <w:rsid w:val="47BF7CB4"/>
    <w:rsid w:val="47BFF6A0"/>
    <w:rsid w:val="47D49AB1"/>
    <w:rsid w:val="47FF3311"/>
    <w:rsid w:val="48FD34A3"/>
    <w:rsid w:val="499D1FCC"/>
    <w:rsid w:val="4A701893"/>
    <w:rsid w:val="4AF741F8"/>
    <w:rsid w:val="4AFDC8DD"/>
    <w:rsid w:val="4BDD470A"/>
    <w:rsid w:val="4BEFB677"/>
    <w:rsid w:val="4BEFF624"/>
    <w:rsid w:val="4C6FC961"/>
    <w:rsid w:val="4D3B6D0D"/>
    <w:rsid w:val="4EDB7293"/>
    <w:rsid w:val="4EDF5660"/>
    <w:rsid w:val="4EFF703A"/>
    <w:rsid w:val="4F7A41DF"/>
    <w:rsid w:val="4F7E2CA4"/>
    <w:rsid w:val="4F7F9374"/>
    <w:rsid w:val="4FAD7013"/>
    <w:rsid w:val="4FBA3769"/>
    <w:rsid w:val="4FCFBBC5"/>
    <w:rsid w:val="4FD52372"/>
    <w:rsid w:val="4FDFBB3A"/>
    <w:rsid w:val="4FFEE384"/>
    <w:rsid w:val="4FFF67B7"/>
    <w:rsid w:val="4FFFCEE1"/>
    <w:rsid w:val="4FFFCFF4"/>
    <w:rsid w:val="5073E03E"/>
    <w:rsid w:val="50FC54B7"/>
    <w:rsid w:val="5173656B"/>
    <w:rsid w:val="51B49BC8"/>
    <w:rsid w:val="51C40773"/>
    <w:rsid w:val="520E2F00"/>
    <w:rsid w:val="53AE42B9"/>
    <w:rsid w:val="53F3891A"/>
    <w:rsid w:val="53FD1FA7"/>
    <w:rsid w:val="53FDC37D"/>
    <w:rsid w:val="54F4C546"/>
    <w:rsid w:val="55DF7D10"/>
    <w:rsid w:val="56B742CC"/>
    <w:rsid w:val="56CB920D"/>
    <w:rsid w:val="56FE566C"/>
    <w:rsid w:val="56FED5B7"/>
    <w:rsid w:val="5766F812"/>
    <w:rsid w:val="576F2A33"/>
    <w:rsid w:val="576F7058"/>
    <w:rsid w:val="577E9BEC"/>
    <w:rsid w:val="57B77826"/>
    <w:rsid w:val="57DE904E"/>
    <w:rsid w:val="57EFC7CC"/>
    <w:rsid w:val="599F6E95"/>
    <w:rsid w:val="59D33B59"/>
    <w:rsid w:val="5B1A6680"/>
    <w:rsid w:val="5B2EA596"/>
    <w:rsid w:val="5B5FF2C6"/>
    <w:rsid w:val="5BA510EF"/>
    <w:rsid w:val="5BD3EA62"/>
    <w:rsid w:val="5BDDB460"/>
    <w:rsid w:val="5BF761F4"/>
    <w:rsid w:val="5BF7AEF2"/>
    <w:rsid w:val="5BFA298E"/>
    <w:rsid w:val="5BFC1FA2"/>
    <w:rsid w:val="5BFF0258"/>
    <w:rsid w:val="5BFFC855"/>
    <w:rsid w:val="5CA02716"/>
    <w:rsid w:val="5CCB0D24"/>
    <w:rsid w:val="5CF731E5"/>
    <w:rsid w:val="5CFDD334"/>
    <w:rsid w:val="5CFF5113"/>
    <w:rsid w:val="5D361C0F"/>
    <w:rsid w:val="5D5F97FB"/>
    <w:rsid w:val="5DBF713D"/>
    <w:rsid w:val="5DBFCB38"/>
    <w:rsid w:val="5DD313F1"/>
    <w:rsid w:val="5DD6CD72"/>
    <w:rsid w:val="5DDFDE6E"/>
    <w:rsid w:val="5DE4B544"/>
    <w:rsid w:val="5DE88513"/>
    <w:rsid w:val="5DEB4509"/>
    <w:rsid w:val="5DED5AD3"/>
    <w:rsid w:val="5DF4AF3A"/>
    <w:rsid w:val="5DF7B6A6"/>
    <w:rsid w:val="5DFB3885"/>
    <w:rsid w:val="5DFBF2A5"/>
    <w:rsid w:val="5DFD1698"/>
    <w:rsid w:val="5DFEA5B9"/>
    <w:rsid w:val="5EBB4F6C"/>
    <w:rsid w:val="5EBB97AD"/>
    <w:rsid w:val="5EDBD669"/>
    <w:rsid w:val="5EEF39F3"/>
    <w:rsid w:val="5EF7E577"/>
    <w:rsid w:val="5EFA2D30"/>
    <w:rsid w:val="5EFB33DB"/>
    <w:rsid w:val="5F17DFAC"/>
    <w:rsid w:val="5F5F4519"/>
    <w:rsid w:val="5F5FB869"/>
    <w:rsid w:val="5F6BDA07"/>
    <w:rsid w:val="5F7EE237"/>
    <w:rsid w:val="5F7EFC2A"/>
    <w:rsid w:val="5FA71A80"/>
    <w:rsid w:val="5FADE531"/>
    <w:rsid w:val="5FBEB03F"/>
    <w:rsid w:val="5FBF318C"/>
    <w:rsid w:val="5FBF41A9"/>
    <w:rsid w:val="5FCF01A4"/>
    <w:rsid w:val="5FCF0455"/>
    <w:rsid w:val="5FDB99D6"/>
    <w:rsid w:val="5FDD3F3B"/>
    <w:rsid w:val="5FDECDCA"/>
    <w:rsid w:val="5FDF0503"/>
    <w:rsid w:val="5FDF332F"/>
    <w:rsid w:val="5FEE03C3"/>
    <w:rsid w:val="5FF6A4A0"/>
    <w:rsid w:val="5FF6F3A9"/>
    <w:rsid w:val="5FF736B1"/>
    <w:rsid w:val="5FFACCD1"/>
    <w:rsid w:val="5FFB5F38"/>
    <w:rsid w:val="5FFB7CC1"/>
    <w:rsid w:val="5FFBA982"/>
    <w:rsid w:val="5FFD1ED0"/>
    <w:rsid w:val="5FFDBF23"/>
    <w:rsid w:val="5FFE5B94"/>
    <w:rsid w:val="5FFF36BD"/>
    <w:rsid w:val="5FFF732B"/>
    <w:rsid w:val="5FFF9CA6"/>
    <w:rsid w:val="5FFFB22B"/>
    <w:rsid w:val="5FFFFEAD"/>
    <w:rsid w:val="60441C28"/>
    <w:rsid w:val="608A5882"/>
    <w:rsid w:val="637FE8AA"/>
    <w:rsid w:val="63ABCF3A"/>
    <w:rsid w:val="63FF410E"/>
    <w:rsid w:val="640E64F5"/>
    <w:rsid w:val="643B0AA3"/>
    <w:rsid w:val="649F0A03"/>
    <w:rsid w:val="64E85D0B"/>
    <w:rsid w:val="64FDC229"/>
    <w:rsid w:val="6507267D"/>
    <w:rsid w:val="653D9CAD"/>
    <w:rsid w:val="65779E54"/>
    <w:rsid w:val="65B72110"/>
    <w:rsid w:val="65BFC193"/>
    <w:rsid w:val="65CC1BBD"/>
    <w:rsid w:val="65E70A9F"/>
    <w:rsid w:val="65EF2DC7"/>
    <w:rsid w:val="669F062B"/>
    <w:rsid w:val="66D53CEC"/>
    <w:rsid w:val="67767171"/>
    <w:rsid w:val="67795CC6"/>
    <w:rsid w:val="67977371"/>
    <w:rsid w:val="679DB18B"/>
    <w:rsid w:val="67C55640"/>
    <w:rsid w:val="67D535BC"/>
    <w:rsid w:val="67EED366"/>
    <w:rsid w:val="67EFB8D8"/>
    <w:rsid w:val="67EFC630"/>
    <w:rsid w:val="67F103C2"/>
    <w:rsid w:val="67F7E3F7"/>
    <w:rsid w:val="67FBB934"/>
    <w:rsid w:val="67FF1A7F"/>
    <w:rsid w:val="67FF2320"/>
    <w:rsid w:val="67FF6C62"/>
    <w:rsid w:val="67FF81BC"/>
    <w:rsid w:val="693E661D"/>
    <w:rsid w:val="69EF3B8F"/>
    <w:rsid w:val="69F9D2D8"/>
    <w:rsid w:val="6A766EDA"/>
    <w:rsid w:val="6ADF7911"/>
    <w:rsid w:val="6ADF8E71"/>
    <w:rsid w:val="6AEE60E0"/>
    <w:rsid w:val="6AFB2A29"/>
    <w:rsid w:val="6AFFA456"/>
    <w:rsid w:val="6B3B158D"/>
    <w:rsid w:val="6B4F32B1"/>
    <w:rsid w:val="6B95794A"/>
    <w:rsid w:val="6BB69D5C"/>
    <w:rsid w:val="6BBFEA1E"/>
    <w:rsid w:val="6BC78FB2"/>
    <w:rsid w:val="6BDB2843"/>
    <w:rsid w:val="6BDDA05A"/>
    <w:rsid w:val="6BE0E688"/>
    <w:rsid w:val="6BED92C8"/>
    <w:rsid w:val="6BF36223"/>
    <w:rsid w:val="6BF3CFFD"/>
    <w:rsid w:val="6BF748EA"/>
    <w:rsid w:val="6C7FA817"/>
    <w:rsid w:val="6C8187EB"/>
    <w:rsid w:val="6CBFB313"/>
    <w:rsid w:val="6CDF6900"/>
    <w:rsid w:val="6D6ED4AC"/>
    <w:rsid w:val="6DBDF4A0"/>
    <w:rsid w:val="6DBF4D56"/>
    <w:rsid w:val="6DC7895C"/>
    <w:rsid w:val="6DD605D8"/>
    <w:rsid w:val="6DDFF3FC"/>
    <w:rsid w:val="6DF740E6"/>
    <w:rsid w:val="6DFF2289"/>
    <w:rsid w:val="6E2BD64B"/>
    <w:rsid w:val="6E5D8DE3"/>
    <w:rsid w:val="6E6F5B8B"/>
    <w:rsid w:val="6E772320"/>
    <w:rsid w:val="6E7F4C67"/>
    <w:rsid w:val="6E9FED1C"/>
    <w:rsid w:val="6EBFB019"/>
    <w:rsid w:val="6ED2B6CE"/>
    <w:rsid w:val="6EFE6103"/>
    <w:rsid w:val="6EFF9E2C"/>
    <w:rsid w:val="6EFFDBDB"/>
    <w:rsid w:val="6F074198"/>
    <w:rsid w:val="6F4B619A"/>
    <w:rsid w:val="6F55DDB5"/>
    <w:rsid w:val="6F7B08DD"/>
    <w:rsid w:val="6F7BC5DD"/>
    <w:rsid w:val="6F7F0975"/>
    <w:rsid w:val="6F7F92C2"/>
    <w:rsid w:val="6F8EAD8B"/>
    <w:rsid w:val="6FAB4447"/>
    <w:rsid w:val="6FACCC14"/>
    <w:rsid w:val="6FB76E06"/>
    <w:rsid w:val="6FBF6171"/>
    <w:rsid w:val="6FDEC97A"/>
    <w:rsid w:val="6FDFD24E"/>
    <w:rsid w:val="6FE59BB5"/>
    <w:rsid w:val="6FEBCDC6"/>
    <w:rsid w:val="6FED87FA"/>
    <w:rsid w:val="6FEF8DFA"/>
    <w:rsid w:val="6FF1EAC4"/>
    <w:rsid w:val="6FF53E8F"/>
    <w:rsid w:val="6FF7C474"/>
    <w:rsid w:val="6FF9A5E5"/>
    <w:rsid w:val="6FFB7F4F"/>
    <w:rsid w:val="6FFCDE43"/>
    <w:rsid w:val="6FFE3452"/>
    <w:rsid w:val="6FFE5326"/>
    <w:rsid w:val="6FFF3402"/>
    <w:rsid w:val="6FFF3A6C"/>
    <w:rsid w:val="6FFF50E9"/>
    <w:rsid w:val="6FFFD607"/>
    <w:rsid w:val="702E24E8"/>
    <w:rsid w:val="704757BE"/>
    <w:rsid w:val="705E1D56"/>
    <w:rsid w:val="715DA043"/>
    <w:rsid w:val="71FF87FA"/>
    <w:rsid w:val="721F389B"/>
    <w:rsid w:val="726D9B96"/>
    <w:rsid w:val="7297DD33"/>
    <w:rsid w:val="72A70138"/>
    <w:rsid w:val="72C6D8D5"/>
    <w:rsid w:val="731F2CA1"/>
    <w:rsid w:val="735E6B0C"/>
    <w:rsid w:val="73A7126C"/>
    <w:rsid w:val="73AEE86B"/>
    <w:rsid w:val="73B79323"/>
    <w:rsid w:val="73C70629"/>
    <w:rsid w:val="73DC0D20"/>
    <w:rsid w:val="73E33749"/>
    <w:rsid w:val="73E5035D"/>
    <w:rsid w:val="73E7FA8A"/>
    <w:rsid w:val="73EF502B"/>
    <w:rsid w:val="73FC327E"/>
    <w:rsid w:val="73FFD853"/>
    <w:rsid w:val="742D8659"/>
    <w:rsid w:val="746F3F06"/>
    <w:rsid w:val="748B628A"/>
    <w:rsid w:val="74FB6FD7"/>
    <w:rsid w:val="74FF3478"/>
    <w:rsid w:val="750BBDE0"/>
    <w:rsid w:val="756F048C"/>
    <w:rsid w:val="75B4501A"/>
    <w:rsid w:val="75B89F5B"/>
    <w:rsid w:val="75BF9B28"/>
    <w:rsid w:val="75C687F3"/>
    <w:rsid w:val="75FB022A"/>
    <w:rsid w:val="75FFC232"/>
    <w:rsid w:val="76171637"/>
    <w:rsid w:val="765EF14D"/>
    <w:rsid w:val="76746484"/>
    <w:rsid w:val="767995E7"/>
    <w:rsid w:val="767B329C"/>
    <w:rsid w:val="767BFBCC"/>
    <w:rsid w:val="76AFE8EC"/>
    <w:rsid w:val="76B588C4"/>
    <w:rsid w:val="76BF3357"/>
    <w:rsid w:val="76CD2CCE"/>
    <w:rsid w:val="76D9B787"/>
    <w:rsid w:val="76EDAA68"/>
    <w:rsid w:val="76EFD3D6"/>
    <w:rsid w:val="76F43EAC"/>
    <w:rsid w:val="76F945EF"/>
    <w:rsid w:val="76F9568D"/>
    <w:rsid w:val="76F9CF63"/>
    <w:rsid w:val="76FD2020"/>
    <w:rsid w:val="76FD2EBA"/>
    <w:rsid w:val="76FDEE1A"/>
    <w:rsid w:val="77198C3F"/>
    <w:rsid w:val="773F2CA5"/>
    <w:rsid w:val="7753DA94"/>
    <w:rsid w:val="7755452F"/>
    <w:rsid w:val="77554D1B"/>
    <w:rsid w:val="775F9A24"/>
    <w:rsid w:val="776BB1A5"/>
    <w:rsid w:val="776D812B"/>
    <w:rsid w:val="7777DBF1"/>
    <w:rsid w:val="77790436"/>
    <w:rsid w:val="777912BD"/>
    <w:rsid w:val="777B151D"/>
    <w:rsid w:val="777F58DA"/>
    <w:rsid w:val="777FF2DD"/>
    <w:rsid w:val="77A7F604"/>
    <w:rsid w:val="77AF1BDA"/>
    <w:rsid w:val="77BB8A32"/>
    <w:rsid w:val="77CE1E7E"/>
    <w:rsid w:val="77D71726"/>
    <w:rsid w:val="77D76837"/>
    <w:rsid w:val="77D835B2"/>
    <w:rsid w:val="77DD1187"/>
    <w:rsid w:val="77DF326B"/>
    <w:rsid w:val="77DF3CF0"/>
    <w:rsid w:val="77E64CA3"/>
    <w:rsid w:val="77EB4F7F"/>
    <w:rsid w:val="77EBA3A0"/>
    <w:rsid w:val="77EC34B5"/>
    <w:rsid w:val="77F228C5"/>
    <w:rsid w:val="77F43003"/>
    <w:rsid w:val="77F7438C"/>
    <w:rsid w:val="77F94569"/>
    <w:rsid w:val="77F983EA"/>
    <w:rsid w:val="77FBA27B"/>
    <w:rsid w:val="77FC1B0C"/>
    <w:rsid w:val="77FC499A"/>
    <w:rsid w:val="77FD110F"/>
    <w:rsid w:val="77FF8381"/>
    <w:rsid w:val="77FFBAC2"/>
    <w:rsid w:val="77FFE76F"/>
    <w:rsid w:val="7809834A"/>
    <w:rsid w:val="78694397"/>
    <w:rsid w:val="78FCE971"/>
    <w:rsid w:val="78FF717A"/>
    <w:rsid w:val="793F0BEC"/>
    <w:rsid w:val="793FA608"/>
    <w:rsid w:val="794DB089"/>
    <w:rsid w:val="79AD0B16"/>
    <w:rsid w:val="79CF8BDF"/>
    <w:rsid w:val="79D98237"/>
    <w:rsid w:val="79DDDEA8"/>
    <w:rsid w:val="79DF7A4F"/>
    <w:rsid w:val="79DF9AD7"/>
    <w:rsid w:val="79E78878"/>
    <w:rsid w:val="79EBB3E6"/>
    <w:rsid w:val="79F1CB45"/>
    <w:rsid w:val="79FFD95F"/>
    <w:rsid w:val="7A5DBEF7"/>
    <w:rsid w:val="7A7500D6"/>
    <w:rsid w:val="7A7DBE6C"/>
    <w:rsid w:val="7A8EAC37"/>
    <w:rsid w:val="7ACB72E2"/>
    <w:rsid w:val="7ADF91CC"/>
    <w:rsid w:val="7ADFC793"/>
    <w:rsid w:val="7AEEFA32"/>
    <w:rsid w:val="7AF7EF25"/>
    <w:rsid w:val="7AFD446B"/>
    <w:rsid w:val="7B1E3D25"/>
    <w:rsid w:val="7B1FDD61"/>
    <w:rsid w:val="7B3C4BA9"/>
    <w:rsid w:val="7B6E75DF"/>
    <w:rsid w:val="7B6F66DD"/>
    <w:rsid w:val="7B6FDED4"/>
    <w:rsid w:val="7B7B7741"/>
    <w:rsid w:val="7B7BB063"/>
    <w:rsid w:val="7B7DA57E"/>
    <w:rsid w:val="7B7F050B"/>
    <w:rsid w:val="7B7F3121"/>
    <w:rsid w:val="7BAFFC5D"/>
    <w:rsid w:val="7BBBA399"/>
    <w:rsid w:val="7BBDF17C"/>
    <w:rsid w:val="7BBEBC5D"/>
    <w:rsid w:val="7BBF253A"/>
    <w:rsid w:val="7BBF845E"/>
    <w:rsid w:val="7BDF19CD"/>
    <w:rsid w:val="7BDF1D07"/>
    <w:rsid w:val="7BDF99F9"/>
    <w:rsid w:val="7BEF41EF"/>
    <w:rsid w:val="7BF759F1"/>
    <w:rsid w:val="7BF797D9"/>
    <w:rsid w:val="7BFD0666"/>
    <w:rsid w:val="7BFDA2BB"/>
    <w:rsid w:val="7BFE6D36"/>
    <w:rsid w:val="7BFEBAE2"/>
    <w:rsid w:val="7BFF08BE"/>
    <w:rsid w:val="7BFF6C08"/>
    <w:rsid w:val="7BFF6E16"/>
    <w:rsid w:val="7BFFA747"/>
    <w:rsid w:val="7C33D413"/>
    <w:rsid w:val="7C57605F"/>
    <w:rsid w:val="7C5F17A5"/>
    <w:rsid w:val="7C665377"/>
    <w:rsid w:val="7C95C6BC"/>
    <w:rsid w:val="7CA63287"/>
    <w:rsid w:val="7CCDFDCF"/>
    <w:rsid w:val="7CDF8D57"/>
    <w:rsid w:val="7CEB4375"/>
    <w:rsid w:val="7CF0684A"/>
    <w:rsid w:val="7CF60EE8"/>
    <w:rsid w:val="7CFB6E26"/>
    <w:rsid w:val="7CFF46A4"/>
    <w:rsid w:val="7D2D38CE"/>
    <w:rsid w:val="7D4E4658"/>
    <w:rsid w:val="7D5BD357"/>
    <w:rsid w:val="7D62FB26"/>
    <w:rsid w:val="7D6BFBC2"/>
    <w:rsid w:val="7D6EBE7D"/>
    <w:rsid w:val="7D6FB7B7"/>
    <w:rsid w:val="7D6FC92F"/>
    <w:rsid w:val="7D738A58"/>
    <w:rsid w:val="7D77B31E"/>
    <w:rsid w:val="7D7DB270"/>
    <w:rsid w:val="7D7F15C7"/>
    <w:rsid w:val="7D7F5B8B"/>
    <w:rsid w:val="7D7F6FB2"/>
    <w:rsid w:val="7D81D46B"/>
    <w:rsid w:val="7D9F0B94"/>
    <w:rsid w:val="7DACA743"/>
    <w:rsid w:val="7DBBE21D"/>
    <w:rsid w:val="7DBD10B0"/>
    <w:rsid w:val="7DBE7A13"/>
    <w:rsid w:val="7DCB821C"/>
    <w:rsid w:val="7DCF45F3"/>
    <w:rsid w:val="7DCFE223"/>
    <w:rsid w:val="7DD70F33"/>
    <w:rsid w:val="7DEBEB3D"/>
    <w:rsid w:val="7DED5EEA"/>
    <w:rsid w:val="7DEF44F8"/>
    <w:rsid w:val="7DEF56B7"/>
    <w:rsid w:val="7DEFE27E"/>
    <w:rsid w:val="7DF1670D"/>
    <w:rsid w:val="7DF750B1"/>
    <w:rsid w:val="7DFB0E72"/>
    <w:rsid w:val="7DFE9C1F"/>
    <w:rsid w:val="7DFEA8CE"/>
    <w:rsid w:val="7DFED48E"/>
    <w:rsid w:val="7DFF0292"/>
    <w:rsid w:val="7DFF55BF"/>
    <w:rsid w:val="7DFF9BD3"/>
    <w:rsid w:val="7DFFCD78"/>
    <w:rsid w:val="7DFFF3BF"/>
    <w:rsid w:val="7E3FE622"/>
    <w:rsid w:val="7E4E0BC4"/>
    <w:rsid w:val="7E674485"/>
    <w:rsid w:val="7E6AAE64"/>
    <w:rsid w:val="7E6D9E2C"/>
    <w:rsid w:val="7E6FB827"/>
    <w:rsid w:val="7E750FC5"/>
    <w:rsid w:val="7E7B37F2"/>
    <w:rsid w:val="7EB7B6FF"/>
    <w:rsid w:val="7EB90FB5"/>
    <w:rsid w:val="7EBBCDDC"/>
    <w:rsid w:val="7ECFB13B"/>
    <w:rsid w:val="7ED6BD0E"/>
    <w:rsid w:val="7ED86B51"/>
    <w:rsid w:val="7EDA196C"/>
    <w:rsid w:val="7EDE89C3"/>
    <w:rsid w:val="7EDF8E27"/>
    <w:rsid w:val="7EEF22C9"/>
    <w:rsid w:val="7EEF7B0E"/>
    <w:rsid w:val="7EEFB15A"/>
    <w:rsid w:val="7EEFE7AB"/>
    <w:rsid w:val="7EF35148"/>
    <w:rsid w:val="7EF5BCAD"/>
    <w:rsid w:val="7EF7AF42"/>
    <w:rsid w:val="7EF8CF9A"/>
    <w:rsid w:val="7EFBC26E"/>
    <w:rsid w:val="7EFD1601"/>
    <w:rsid w:val="7EFE61D2"/>
    <w:rsid w:val="7EFE77B0"/>
    <w:rsid w:val="7EFED3DA"/>
    <w:rsid w:val="7F1F8728"/>
    <w:rsid w:val="7F323D58"/>
    <w:rsid w:val="7F333E7E"/>
    <w:rsid w:val="7F366011"/>
    <w:rsid w:val="7F3B0ED0"/>
    <w:rsid w:val="7F3B9A78"/>
    <w:rsid w:val="7F53AB48"/>
    <w:rsid w:val="7F551101"/>
    <w:rsid w:val="7F5A35BD"/>
    <w:rsid w:val="7F5B2829"/>
    <w:rsid w:val="7F6DC048"/>
    <w:rsid w:val="7F6DDF72"/>
    <w:rsid w:val="7F6E40F3"/>
    <w:rsid w:val="7F6F91D6"/>
    <w:rsid w:val="7F7A48DA"/>
    <w:rsid w:val="7F7B3242"/>
    <w:rsid w:val="7F7C12AE"/>
    <w:rsid w:val="7F7D9518"/>
    <w:rsid w:val="7F7E39CD"/>
    <w:rsid w:val="7F7F10D1"/>
    <w:rsid w:val="7F874EC5"/>
    <w:rsid w:val="7F8FC2A2"/>
    <w:rsid w:val="7F95538B"/>
    <w:rsid w:val="7F97CCB5"/>
    <w:rsid w:val="7F9F0A6A"/>
    <w:rsid w:val="7FAD13E7"/>
    <w:rsid w:val="7FAF0B62"/>
    <w:rsid w:val="7FB5CCAD"/>
    <w:rsid w:val="7FBB21F1"/>
    <w:rsid w:val="7FBBDB0F"/>
    <w:rsid w:val="7FBF5887"/>
    <w:rsid w:val="7FBFDDD5"/>
    <w:rsid w:val="7FCEEF58"/>
    <w:rsid w:val="7FCF6743"/>
    <w:rsid w:val="7FD1EBED"/>
    <w:rsid w:val="7FD5F252"/>
    <w:rsid w:val="7FD79950"/>
    <w:rsid w:val="7FD7F786"/>
    <w:rsid w:val="7FDB3C39"/>
    <w:rsid w:val="7FDB5A6E"/>
    <w:rsid w:val="7FDBECEF"/>
    <w:rsid w:val="7FDCEF29"/>
    <w:rsid w:val="7FDF08C6"/>
    <w:rsid w:val="7FDF6AF6"/>
    <w:rsid w:val="7FDFB826"/>
    <w:rsid w:val="7FDFBF07"/>
    <w:rsid w:val="7FDFEC7A"/>
    <w:rsid w:val="7FE31B87"/>
    <w:rsid w:val="7FE3C46C"/>
    <w:rsid w:val="7FE6A9B1"/>
    <w:rsid w:val="7FE706FA"/>
    <w:rsid w:val="7FE7736D"/>
    <w:rsid w:val="7FEA4D9D"/>
    <w:rsid w:val="7FEBD19B"/>
    <w:rsid w:val="7FEBF736"/>
    <w:rsid w:val="7FED0FAD"/>
    <w:rsid w:val="7FEDFC6A"/>
    <w:rsid w:val="7FEE7F0C"/>
    <w:rsid w:val="7FEF90D4"/>
    <w:rsid w:val="7FEFA8AF"/>
    <w:rsid w:val="7FF23C9B"/>
    <w:rsid w:val="7FF5196E"/>
    <w:rsid w:val="7FF6DDDA"/>
    <w:rsid w:val="7FF75890"/>
    <w:rsid w:val="7FF79B69"/>
    <w:rsid w:val="7FF7A3D9"/>
    <w:rsid w:val="7FF7B156"/>
    <w:rsid w:val="7FF9AE1B"/>
    <w:rsid w:val="7FFAD4A4"/>
    <w:rsid w:val="7FFB216C"/>
    <w:rsid w:val="7FFB862E"/>
    <w:rsid w:val="7FFB8B0C"/>
    <w:rsid w:val="7FFBC4D1"/>
    <w:rsid w:val="7FFC053E"/>
    <w:rsid w:val="7FFD60E6"/>
    <w:rsid w:val="7FFD8E7A"/>
    <w:rsid w:val="7FFDE09F"/>
    <w:rsid w:val="7FFE3A69"/>
    <w:rsid w:val="7FFE3EC4"/>
    <w:rsid w:val="7FFEFEAF"/>
    <w:rsid w:val="7FFF1B95"/>
    <w:rsid w:val="7FFF22BB"/>
    <w:rsid w:val="7FFF4111"/>
    <w:rsid w:val="7FFF41A3"/>
    <w:rsid w:val="7FFF4457"/>
    <w:rsid w:val="7FFF6D78"/>
    <w:rsid w:val="7FFF97D2"/>
    <w:rsid w:val="7FFFB36B"/>
    <w:rsid w:val="7FFFF9AE"/>
    <w:rsid w:val="827D9A1D"/>
    <w:rsid w:val="89E24F7D"/>
    <w:rsid w:val="8B6F5951"/>
    <w:rsid w:val="8D9F7057"/>
    <w:rsid w:val="8FB96764"/>
    <w:rsid w:val="8FDECB08"/>
    <w:rsid w:val="8FEF2B92"/>
    <w:rsid w:val="8FF5F962"/>
    <w:rsid w:val="93B7DD89"/>
    <w:rsid w:val="95AF9982"/>
    <w:rsid w:val="95B7B797"/>
    <w:rsid w:val="95BD6E84"/>
    <w:rsid w:val="95F621FC"/>
    <w:rsid w:val="963EFC79"/>
    <w:rsid w:val="976BD9F3"/>
    <w:rsid w:val="977F92C7"/>
    <w:rsid w:val="979EB348"/>
    <w:rsid w:val="97B7EEEC"/>
    <w:rsid w:val="97DF2B9D"/>
    <w:rsid w:val="97FF8A68"/>
    <w:rsid w:val="987F2952"/>
    <w:rsid w:val="99B49E13"/>
    <w:rsid w:val="99CDCE08"/>
    <w:rsid w:val="99FEB959"/>
    <w:rsid w:val="9A3E1E1C"/>
    <w:rsid w:val="9A6F2D3B"/>
    <w:rsid w:val="9A9F8CC4"/>
    <w:rsid w:val="9AED7251"/>
    <w:rsid w:val="9BB525E1"/>
    <w:rsid w:val="9BEA0889"/>
    <w:rsid w:val="9BF496E3"/>
    <w:rsid w:val="9C3F0F81"/>
    <w:rsid w:val="9CFE2319"/>
    <w:rsid w:val="9D7F103D"/>
    <w:rsid w:val="9DB53561"/>
    <w:rsid w:val="9DFD61EB"/>
    <w:rsid w:val="9DFD8A57"/>
    <w:rsid w:val="9E5D6334"/>
    <w:rsid w:val="9E72F5ED"/>
    <w:rsid w:val="9ED3E2ED"/>
    <w:rsid w:val="9EFD4288"/>
    <w:rsid w:val="9F078105"/>
    <w:rsid w:val="9F735B30"/>
    <w:rsid w:val="9F779C20"/>
    <w:rsid w:val="9FD9F49F"/>
    <w:rsid w:val="9FDFEA33"/>
    <w:rsid w:val="9FF982A1"/>
    <w:rsid w:val="9FFC3A90"/>
    <w:rsid w:val="9FFFD0A5"/>
    <w:rsid w:val="A1FF921E"/>
    <w:rsid w:val="A5F5FC24"/>
    <w:rsid w:val="A6B904F9"/>
    <w:rsid w:val="A7CC7597"/>
    <w:rsid w:val="A7DB09A3"/>
    <w:rsid w:val="A9A76FDB"/>
    <w:rsid w:val="AA39847E"/>
    <w:rsid w:val="AAD931A3"/>
    <w:rsid w:val="ABDFCA00"/>
    <w:rsid w:val="ABEB32B5"/>
    <w:rsid w:val="ABEC16B3"/>
    <w:rsid w:val="ABEFE7AB"/>
    <w:rsid w:val="ABF35C26"/>
    <w:rsid w:val="ACDFCC44"/>
    <w:rsid w:val="AD7BEEB9"/>
    <w:rsid w:val="ADFD6E91"/>
    <w:rsid w:val="ADFE5C00"/>
    <w:rsid w:val="ADFE9A34"/>
    <w:rsid w:val="AE669283"/>
    <w:rsid w:val="AE7357DE"/>
    <w:rsid w:val="AE77D3A2"/>
    <w:rsid w:val="AEFFF11D"/>
    <w:rsid w:val="AF3450FC"/>
    <w:rsid w:val="AF67E2D7"/>
    <w:rsid w:val="AF6D7594"/>
    <w:rsid w:val="AFBF2273"/>
    <w:rsid w:val="AFDB29B7"/>
    <w:rsid w:val="AFF5988C"/>
    <w:rsid w:val="AFFA8520"/>
    <w:rsid w:val="AFFFAFB9"/>
    <w:rsid w:val="B0CF1B64"/>
    <w:rsid w:val="B0FD1359"/>
    <w:rsid w:val="B17A0ACB"/>
    <w:rsid w:val="B3BD9396"/>
    <w:rsid w:val="B3FF35BC"/>
    <w:rsid w:val="B56CBE85"/>
    <w:rsid w:val="B57F82BB"/>
    <w:rsid w:val="B5F91A0D"/>
    <w:rsid w:val="B5FD9C2D"/>
    <w:rsid w:val="B6E5E17A"/>
    <w:rsid w:val="B6EF45D3"/>
    <w:rsid w:val="B6FE29C6"/>
    <w:rsid w:val="B74F40E5"/>
    <w:rsid w:val="B77FE5A1"/>
    <w:rsid w:val="B798A00B"/>
    <w:rsid w:val="B7BEBEC7"/>
    <w:rsid w:val="B7BF785E"/>
    <w:rsid w:val="B7F9BC2E"/>
    <w:rsid w:val="B7FF12FC"/>
    <w:rsid w:val="B8A54A3B"/>
    <w:rsid w:val="B9A696FD"/>
    <w:rsid w:val="B9FCB69D"/>
    <w:rsid w:val="BA3FE87B"/>
    <w:rsid w:val="BA8747E9"/>
    <w:rsid w:val="BAB657CD"/>
    <w:rsid w:val="BAF69E2D"/>
    <w:rsid w:val="BAFB6EDA"/>
    <w:rsid w:val="BB2FCBEB"/>
    <w:rsid w:val="BB3D3383"/>
    <w:rsid w:val="BB796137"/>
    <w:rsid w:val="BBCF8A53"/>
    <w:rsid w:val="BBE7D501"/>
    <w:rsid w:val="BBED4672"/>
    <w:rsid w:val="BBED68DE"/>
    <w:rsid w:val="BBF34A54"/>
    <w:rsid w:val="BBFDDD3D"/>
    <w:rsid w:val="BBFF9AE0"/>
    <w:rsid w:val="BBFFFDAF"/>
    <w:rsid w:val="BC7E5CAF"/>
    <w:rsid w:val="BCFB6860"/>
    <w:rsid w:val="BCFEC2D5"/>
    <w:rsid w:val="BD4F9348"/>
    <w:rsid w:val="BD5F3D92"/>
    <w:rsid w:val="BD75757E"/>
    <w:rsid w:val="BD7B8AF7"/>
    <w:rsid w:val="BDB7FCB7"/>
    <w:rsid w:val="BDCF02AC"/>
    <w:rsid w:val="BDDD652D"/>
    <w:rsid w:val="BDE7A514"/>
    <w:rsid w:val="BDFB9CF9"/>
    <w:rsid w:val="BDFBEB05"/>
    <w:rsid w:val="BDFF8119"/>
    <w:rsid w:val="BE7EF113"/>
    <w:rsid w:val="BEBAC423"/>
    <w:rsid w:val="BEBB0A44"/>
    <w:rsid w:val="BED73AAB"/>
    <w:rsid w:val="BEFBE785"/>
    <w:rsid w:val="BF3B03C9"/>
    <w:rsid w:val="BF3E9D3D"/>
    <w:rsid w:val="BF8C9635"/>
    <w:rsid w:val="BFAB2BB5"/>
    <w:rsid w:val="BFABBACA"/>
    <w:rsid w:val="BFAC46F5"/>
    <w:rsid w:val="BFB3A325"/>
    <w:rsid w:val="BFBB71BA"/>
    <w:rsid w:val="BFBFAB61"/>
    <w:rsid w:val="BFBFDD36"/>
    <w:rsid w:val="BFBFEC19"/>
    <w:rsid w:val="BFCD6923"/>
    <w:rsid w:val="BFD50246"/>
    <w:rsid w:val="BFD94CF8"/>
    <w:rsid w:val="BFE30B3F"/>
    <w:rsid w:val="BFE53C8E"/>
    <w:rsid w:val="BFE70322"/>
    <w:rsid w:val="BFEFAFFF"/>
    <w:rsid w:val="BFF646AD"/>
    <w:rsid w:val="BFF733FA"/>
    <w:rsid w:val="BFF751BD"/>
    <w:rsid w:val="BFF971F2"/>
    <w:rsid w:val="BFFB1548"/>
    <w:rsid w:val="BFFB45DD"/>
    <w:rsid w:val="BFFCE8FF"/>
    <w:rsid w:val="BFFDAD3B"/>
    <w:rsid w:val="BFFDD3BA"/>
    <w:rsid w:val="BFFE4CB4"/>
    <w:rsid w:val="BFFF46CC"/>
    <w:rsid w:val="BFFF58A2"/>
    <w:rsid w:val="BFFF5DAB"/>
    <w:rsid w:val="BFFF81D4"/>
    <w:rsid w:val="BFFFA613"/>
    <w:rsid w:val="BFFFD383"/>
    <w:rsid w:val="C1EE8A61"/>
    <w:rsid w:val="C3D5B8F8"/>
    <w:rsid w:val="C3FBF2C8"/>
    <w:rsid w:val="C57B0770"/>
    <w:rsid w:val="C5B9854D"/>
    <w:rsid w:val="C5EFB66A"/>
    <w:rsid w:val="C5FF9839"/>
    <w:rsid w:val="C61E49A8"/>
    <w:rsid w:val="C66FED69"/>
    <w:rsid w:val="C79DAA0D"/>
    <w:rsid w:val="C7F70CD6"/>
    <w:rsid w:val="C7FB5502"/>
    <w:rsid w:val="C9F5D223"/>
    <w:rsid w:val="CB679B68"/>
    <w:rsid w:val="CBAD7B9F"/>
    <w:rsid w:val="CBFFBD66"/>
    <w:rsid w:val="CC7BD4BF"/>
    <w:rsid w:val="CD58FA6C"/>
    <w:rsid w:val="CD8E20BF"/>
    <w:rsid w:val="CDFFFCCC"/>
    <w:rsid w:val="CEDC2043"/>
    <w:rsid w:val="CEF68CB4"/>
    <w:rsid w:val="CEFF68C9"/>
    <w:rsid w:val="CF3F56EB"/>
    <w:rsid w:val="CF5D029E"/>
    <w:rsid w:val="CF7A7A8E"/>
    <w:rsid w:val="CF96945A"/>
    <w:rsid w:val="CFADACB1"/>
    <w:rsid w:val="CFB76E13"/>
    <w:rsid w:val="CFF4D2D4"/>
    <w:rsid w:val="CFFAF51B"/>
    <w:rsid w:val="CFFD377F"/>
    <w:rsid w:val="CFFF229F"/>
    <w:rsid w:val="D1DBC70A"/>
    <w:rsid w:val="D1DFCB44"/>
    <w:rsid w:val="D2F90418"/>
    <w:rsid w:val="D36F7BBA"/>
    <w:rsid w:val="D3D72E3E"/>
    <w:rsid w:val="D3DE830A"/>
    <w:rsid w:val="D3FF38E3"/>
    <w:rsid w:val="D3FF927E"/>
    <w:rsid w:val="D3FFC533"/>
    <w:rsid w:val="D47F1562"/>
    <w:rsid w:val="D4F73924"/>
    <w:rsid w:val="D4FA1BBE"/>
    <w:rsid w:val="D5CFE178"/>
    <w:rsid w:val="D5F75019"/>
    <w:rsid w:val="D66B8977"/>
    <w:rsid w:val="D6E86713"/>
    <w:rsid w:val="D6FEBCBC"/>
    <w:rsid w:val="D72C7C20"/>
    <w:rsid w:val="D7AF39B0"/>
    <w:rsid w:val="D7D41312"/>
    <w:rsid w:val="D7F37019"/>
    <w:rsid w:val="D7FB1A33"/>
    <w:rsid w:val="D7FBE2BF"/>
    <w:rsid w:val="D7FCF82F"/>
    <w:rsid w:val="D7FDE8BA"/>
    <w:rsid w:val="D7FFB3F3"/>
    <w:rsid w:val="D7FFD463"/>
    <w:rsid w:val="D8770880"/>
    <w:rsid w:val="D8DF158B"/>
    <w:rsid w:val="D94FA042"/>
    <w:rsid w:val="D97D5C67"/>
    <w:rsid w:val="D97F4B27"/>
    <w:rsid w:val="D9D752AD"/>
    <w:rsid w:val="DAB96FCB"/>
    <w:rsid w:val="DAD7AACA"/>
    <w:rsid w:val="DAFE436A"/>
    <w:rsid w:val="DB3E209D"/>
    <w:rsid w:val="DB5F00DD"/>
    <w:rsid w:val="DB9DAD92"/>
    <w:rsid w:val="DBA95511"/>
    <w:rsid w:val="DBBB34C4"/>
    <w:rsid w:val="DBCBC492"/>
    <w:rsid w:val="DBD7E48B"/>
    <w:rsid w:val="DBDB3385"/>
    <w:rsid w:val="DBEAB823"/>
    <w:rsid w:val="DBFD9045"/>
    <w:rsid w:val="DBFE5459"/>
    <w:rsid w:val="DBFE8970"/>
    <w:rsid w:val="DBFECA55"/>
    <w:rsid w:val="DC7687EA"/>
    <w:rsid w:val="DCFBD596"/>
    <w:rsid w:val="DCFFE923"/>
    <w:rsid w:val="DD3F970D"/>
    <w:rsid w:val="DD3FA061"/>
    <w:rsid w:val="DD6D9F30"/>
    <w:rsid w:val="DDA91698"/>
    <w:rsid w:val="DDCB9DB4"/>
    <w:rsid w:val="DDD69597"/>
    <w:rsid w:val="DDED03AD"/>
    <w:rsid w:val="DDFBC19D"/>
    <w:rsid w:val="DDFD0B2A"/>
    <w:rsid w:val="DDFEAE43"/>
    <w:rsid w:val="DDFF8872"/>
    <w:rsid w:val="DE479C4D"/>
    <w:rsid w:val="DE495B98"/>
    <w:rsid w:val="DE51700A"/>
    <w:rsid w:val="DE7540CA"/>
    <w:rsid w:val="DE7FF224"/>
    <w:rsid w:val="DE97EE71"/>
    <w:rsid w:val="DEA6E6BE"/>
    <w:rsid w:val="DEC32193"/>
    <w:rsid w:val="DECE9F8A"/>
    <w:rsid w:val="DEE4F5B1"/>
    <w:rsid w:val="DEEF8ED0"/>
    <w:rsid w:val="DEFE35DB"/>
    <w:rsid w:val="DF2D7A45"/>
    <w:rsid w:val="DF2F535C"/>
    <w:rsid w:val="DF368713"/>
    <w:rsid w:val="DF3DD247"/>
    <w:rsid w:val="DF472B1A"/>
    <w:rsid w:val="DF59BB03"/>
    <w:rsid w:val="DF713AD6"/>
    <w:rsid w:val="DF778A03"/>
    <w:rsid w:val="DF7B37A6"/>
    <w:rsid w:val="DF7B7CC9"/>
    <w:rsid w:val="DF7C4796"/>
    <w:rsid w:val="DF7EE5BC"/>
    <w:rsid w:val="DF8A964E"/>
    <w:rsid w:val="DFA93EAF"/>
    <w:rsid w:val="DFB482E5"/>
    <w:rsid w:val="DFB7371B"/>
    <w:rsid w:val="DFB7B055"/>
    <w:rsid w:val="DFB86B94"/>
    <w:rsid w:val="DFBF59CA"/>
    <w:rsid w:val="DFD69B23"/>
    <w:rsid w:val="DFDFD3ED"/>
    <w:rsid w:val="DFDFF9A8"/>
    <w:rsid w:val="DFEAB630"/>
    <w:rsid w:val="DFEFA6C1"/>
    <w:rsid w:val="DFF581E2"/>
    <w:rsid w:val="DFF7086C"/>
    <w:rsid w:val="DFFBFFE3"/>
    <w:rsid w:val="DFFD3183"/>
    <w:rsid w:val="DFFE57AF"/>
    <w:rsid w:val="DFFF5E0C"/>
    <w:rsid w:val="E13E3242"/>
    <w:rsid w:val="E2AE3234"/>
    <w:rsid w:val="E2D35006"/>
    <w:rsid w:val="E3DB336B"/>
    <w:rsid w:val="E3DD1C57"/>
    <w:rsid w:val="E3FFA4C4"/>
    <w:rsid w:val="E57FE2E8"/>
    <w:rsid w:val="E5F3B970"/>
    <w:rsid w:val="E67DBCD7"/>
    <w:rsid w:val="E6DF089D"/>
    <w:rsid w:val="E7BE0A7A"/>
    <w:rsid w:val="E7F7B44A"/>
    <w:rsid w:val="E7FFF3EF"/>
    <w:rsid w:val="E8BFE62F"/>
    <w:rsid w:val="E8ED80F6"/>
    <w:rsid w:val="E9FA435F"/>
    <w:rsid w:val="E9FFA18D"/>
    <w:rsid w:val="EA4EE73D"/>
    <w:rsid w:val="EA694647"/>
    <w:rsid w:val="EAEF12BB"/>
    <w:rsid w:val="EAF741E0"/>
    <w:rsid w:val="EB71D75B"/>
    <w:rsid w:val="EB7E0C01"/>
    <w:rsid w:val="EB7F48EC"/>
    <w:rsid w:val="EBD77716"/>
    <w:rsid w:val="EBDB9194"/>
    <w:rsid w:val="EBE2DDEC"/>
    <w:rsid w:val="EBE57AC1"/>
    <w:rsid w:val="EBEBA80C"/>
    <w:rsid w:val="EBEF5168"/>
    <w:rsid w:val="EC8D62C6"/>
    <w:rsid w:val="ED6F4FD4"/>
    <w:rsid w:val="ED778607"/>
    <w:rsid w:val="ED7D87E8"/>
    <w:rsid w:val="ED7FA52E"/>
    <w:rsid w:val="ED8F13F7"/>
    <w:rsid w:val="ED9D0727"/>
    <w:rsid w:val="EDBFBDAC"/>
    <w:rsid w:val="EDC70873"/>
    <w:rsid w:val="EDEE5A1D"/>
    <w:rsid w:val="EDF7955A"/>
    <w:rsid w:val="EDF7B4E8"/>
    <w:rsid w:val="EDFB9BFE"/>
    <w:rsid w:val="EDFC7503"/>
    <w:rsid w:val="EE37913A"/>
    <w:rsid w:val="EE5F0BB4"/>
    <w:rsid w:val="EEA62206"/>
    <w:rsid w:val="EEAB1161"/>
    <w:rsid w:val="EED72D8C"/>
    <w:rsid w:val="EEDD3257"/>
    <w:rsid w:val="EEE401C6"/>
    <w:rsid w:val="EEECC54C"/>
    <w:rsid w:val="EEEFFEEE"/>
    <w:rsid w:val="EEFBF7CD"/>
    <w:rsid w:val="EEFD6D91"/>
    <w:rsid w:val="EEFF557E"/>
    <w:rsid w:val="EEFF8920"/>
    <w:rsid w:val="EF0D77B6"/>
    <w:rsid w:val="EF2E68A2"/>
    <w:rsid w:val="EF5F5068"/>
    <w:rsid w:val="EF6F80AA"/>
    <w:rsid w:val="EF76C3D2"/>
    <w:rsid w:val="EF7C25C5"/>
    <w:rsid w:val="EF7E32ED"/>
    <w:rsid w:val="EF7F5EE3"/>
    <w:rsid w:val="EF8D0280"/>
    <w:rsid w:val="EF9B5A50"/>
    <w:rsid w:val="EFA78BA1"/>
    <w:rsid w:val="EFB7F1C3"/>
    <w:rsid w:val="EFBE950C"/>
    <w:rsid w:val="EFC475BE"/>
    <w:rsid w:val="EFCA9EA6"/>
    <w:rsid w:val="EFCDD225"/>
    <w:rsid w:val="EFCEAFCA"/>
    <w:rsid w:val="EFCFE4D4"/>
    <w:rsid w:val="EFDB013D"/>
    <w:rsid w:val="EFDBC07C"/>
    <w:rsid w:val="EFE75C1C"/>
    <w:rsid w:val="EFE7A748"/>
    <w:rsid w:val="EFE7B7F9"/>
    <w:rsid w:val="EFEC2EF6"/>
    <w:rsid w:val="EFEE65BF"/>
    <w:rsid w:val="EFF72BBA"/>
    <w:rsid w:val="EFF9ED15"/>
    <w:rsid w:val="EFFB6B13"/>
    <w:rsid w:val="EFFC4B33"/>
    <w:rsid w:val="EFFD2E8F"/>
    <w:rsid w:val="EFFF237F"/>
    <w:rsid w:val="EFFF43BE"/>
    <w:rsid w:val="EFFF572A"/>
    <w:rsid w:val="F07F028B"/>
    <w:rsid w:val="F16F5352"/>
    <w:rsid w:val="F177D4D9"/>
    <w:rsid w:val="F1C49A7C"/>
    <w:rsid w:val="F1C77E1D"/>
    <w:rsid w:val="F1F514F9"/>
    <w:rsid w:val="F1FD55DC"/>
    <w:rsid w:val="F23BA80B"/>
    <w:rsid w:val="F2FAA6A0"/>
    <w:rsid w:val="F3377DB8"/>
    <w:rsid w:val="F36787B4"/>
    <w:rsid w:val="F39E5F5B"/>
    <w:rsid w:val="F39F8188"/>
    <w:rsid w:val="F3CEE9F9"/>
    <w:rsid w:val="F3CF7066"/>
    <w:rsid w:val="F43E03E3"/>
    <w:rsid w:val="F47FC667"/>
    <w:rsid w:val="F4EF99DE"/>
    <w:rsid w:val="F4F1E9CD"/>
    <w:rsid w:val="F4FF0402"/>
    <w:rsid w:val="F52F805B"/>
    <w:rsid w:val="F59B7E8A"/>
    <w:rsid w:val="F5D5690F"/>
    <w:rsid w:val="F5D71935"/>
    <w:rsid w:val="F5DEB324"/>
    <w:rsid w:val="F5DFEEEA"/>
    <w:rsid w:val="F5E7F00C"/>
    <w:rsid w:val="F5EF445F"/>
    <w:rsid w:val="F5F18C09"/>
    <w:rsid w:val="F5F72A6D"/>
    <w:rsid w:val="F5FB3373"/>
    <w:rsid w:val="F637D653"/>
    <w:rsid w:val="F6C78CC0"/>
    <w:rsid w:val="F6DFD559"/>
    <w:rsid w:val="F6DFE331"/>
    <w:rsid w:val="F6F782B0"/>
    <w:rsid w:val="F6FD4C9B"/>
    <w:rsid w:val="F6FF29DE"/>
    <w:rsid w:val="F6FF9C46"/>
    <w:rsid w:val="F71F7AC6"/>
    <w:rsid w:val="F738C7AE"/>
    <w:rsid w:val="F73F73BF"/>
    <w:rsid w:val="F753DD29"/>
    <w:rsid w:val="F75BFA49"/>
    <w:rsid w:val="F767E00C"/>
    <w:rsid w:val="F772A3D3"/>
    <w:rsid w:val="F777D49F"/>
    <w:rsid w:val="F786395F"/>
    <w:rsid w:val="F79F02CD"/>
    <w:rsid w:val="F79F2D26"/>
    <w:rsid w:val="F7B51B6A"/>
    <w:rsid w:val="F7B6301D"/>
    <w:rsid w:val="F7B787CB"/>
    <w:rsid w:val="F7BD4DD0"/>
    <w:rsid w:val="F7BE2A85"/>
    <w:rsid w:val="F7BF41F9"/>
    <w:rsid w:val="F7BFA982"/>
    <w:rsid w:val="F7BFDF73"/>
    <w:rsid w:val="F7BFFF69"/>
    <w:rsid w:val="F7CF2FE7"/>
    <w:rsid w:val="F7DF8BB8"/>
    <w:rsid w:val="F7E78F3F"/>
    <w:rsid w:val="F7E79E2A"/>
    <w:rsid w:val="F7EFEDAE"/>
    <w:rsid w:val="F7F71100"/>
    <w:rsid w:val="F7F7AC91"/>
    <w:rsid w:val="F7F7C072"/>
    <w:rsid w:val="F7F7E49F"/>
    <w:rsid w:val="F7F9D9D2"/>
    <w:rsid w:val="F7FB52E0"/>
    <w:rsid w:val="F7FBD8DB"/>
    <w:rsid w:val="F7FC1AEE"/>
    <w:rsid w:val="F7FC626D"/>
    <w:rsid w:val="F7FCCFCD"/>
    <w:rsid w:val="F7FD3B0B"/>
    <w:rsid w:val="F7FEFE74"/>
    <w:rsid w:val="F7FF0AFE"/>
    <w:rsid w:val="F7FF1A96"/>
    <w:rsid w:val="F7FF3C67"/>
    <w:rsid w:val="F7FFDCF4"/>
    <w:rsid w:val="F7FFF2EF"/>
    <w:rsid w:val="F8CF8B5C"/>
    <w:rsid w:val="F8D764AD"/>
    <w:rsid w:val="F8D9AF12"/>
    <w:rsid w:val="F8DFFC1A"/>
    <w:rsid w:val="F8F305E5"/>
    <w:rsid w:val="F8FF9C78"/>
    <w:rsid w:val="F92BDBA2"/>
    <w:rsid w:val="F93C1C67"/>
    <w:rsid w:val="F99A0976"/>
    <w:rsid w:val="F9CF664A"/>
    <w:rsid w:val="F9D6B392"/>
    <w:rsid w:val="F9DE31E6"/>
    <w:rsid w:val="F9E94C5C"/>
    <w:rsid w:val="F9EEE623"/>
    <w:rsid w:val="F9EF3E97"/>
    <w:rsid w:val="F9F5F13C"/>
    <w:rsid w:val="F9F72CD4"/>
    <w:rsid w:val="F9FBAE6F"/>
    <w:rsid w:val="F9FD435F"/>
    <w:rsid w:val="F9FDE0BB"/>
    <w:rsid w:val="F9FF5E89"/>
    <w:rsid w:val="F9FF8C6E"/>
    <w:rsid w:val="F9FFAA2C"/>
    <w:rsid w:val="F9FFDA00"/>
    <w:rsid w:val="FA6F3AD4"/>
    <w:rsid w:val="FADB960E"/>
    <w:rsid w:val="FADF5ADD"/>
    <w:rsid w:val="FAE759C7"/>
    <w:rsid w:val="FAF3AF00"/>
    <w:rsid w:val="FAFF8003"/>
    <w:rsid w:val="FAFFD323"/>
    <w:rsid w:val="FB3BB05E"/>
    <w:rsid w:val="FB4A1AD4"/>
    <w:rsid w:val="FB754D83"/>
    <w:rsid w:val="FB7BB61F"/>
    <w:rsid w:val="FB7E2DE8"/>
    <w:rsid w:val="FB7F6CE0"/>
    <w:rsid w:val="FB9BBA4E"/>
    <w:rsid w:val="FBA56F69"/>
    <w:rsid w:val="FBB76393"/>
    <w:rsid w:val="FBB7FD0B"/>
    <w:rsid w:val="FBBF486F"/>
    <w:rsid w:val="FBBF4892"/>
    <w:rsid w:val="FBBFF38E"/>
    <w:rsid w:val="FBC71C6E"/>
    <w:rsid w:val="FBC9D5EA"/>
    <w:rsid w:val="FBCF75C1"/>
    <w:rsid w:val="FBD7A128"/>
    <w:rsid w:val="FBDFEA4C"/>
    <w:rsid w:val="FBEE097C"/>
    <w:rsid w:val="FBF796A2"/>
    <w:rsid w:val="FBF8E5F5"/>
    <w:rsid w:val="FBFD85F9"/>
    <w:rsid w:val="FBFE64C8"/>
    <w:rsid w:val="FBFE9902"/>
    <w:rsid w:val="FBFEA091"/>
    <w:rsid w:val="FBFF37B2"/>
    <w:rsid w:val="FC7F16D3"/>
    <w:rsid w:val="FC97DA8D"/>
    <w:rsid w:val="FCD99055"/>
    <w:rsid w:val="FCDFFE81"/>
    <w:rsid w:val="FCE9AB08"/>
    <w:rsid w:val="FCF95DC4"/>
    <w:rsid w:val="FCFAFFBE"/>
    <w:rsid w:val="FCFFA99D"/>
    <w:rsid w:val="FD177F41"/>
    <w:rsid w:val="FD1E79B5"/>
    <w:rsid w:val="FD1FAE1F"/>
    <w:rsid w:val="FD35C8DB"/>
    <w:rsid w:val="FD373EC3"/>
    <w:rsid w:val="FD5A7BC7"/>
    <w:rsid w:val="FD5F73A4"/>
    <w:rsid w:val="FD6BD576"/>
    <w:rsid w:val="FD761121"/>
    <w:rsid w:val="FD7CB4BB"/>
    <w:rsid w:val="FD7D2652"/>
    <w:rsid w:val="FD7DCF5A"/>
    <w:rsid w:val="FD7F39D2"/>
    <w:rsid w:val="FD9B7A3E"/>
    <w:rsid w:val="FD9F609E"/>
    <w:rsid w:val="FD9FB5F2"/>
    <w:rsid w:val="FDA525AE"/>
    <w:rsid w:val="FDABBC9D"/>
    <w:rsid w:val="FDD2CB62"/>
    <w:rsid w:val="FDDBFDB8"/>
    <w:rsid w:val="FDE78386"/>
    <w:rsid w:val="FDEBB5AD"/>
    <w:rsid w:val="FDEBE429"/>
    <w:rsid w:val="FDEDD413"/>
    <w:rsid w:val="FDEE4B35"/>
    <w:rsid w:val="FDEF1C11"/>
    <w:rsid w:val="FDEF6B01"/>
    <w:rsid w:val="FDF3C363"/>
    <w:rsid w:val="FDF77AEB"/>
    <w:rsid w:val="FDF8FEEC"/>
    <w:rsid w:val="FDFAA101"/>
    <w:rsid w:val="FDFD528C"/>
    <w:rsid w:val="FDFEA224"/>
    <w:rsid w:val="FDFF6753"/>
    <w:rsid w:val="FDFF676B"/>
    <w:rsid w:val="FDFF739F"/>
    <w:rsid w:val="FDFFD458"/>
    <w:rsid w:val="FDFFE7F1"/>
    <w:rsid w:val="FE3FA1B5"/>
    <w:rsid w:val="FE6D6E84"/>
    <w:rsid w:val="FE79E415"/>
    <w:rsid w:val="FEA567B9"/>
    <w:rsid w:val="FEAB15AC"/>
    <w:rsid w:val="FEAB9690"/>
    <w:rsid w:val="FEAFD427"/>
    <w:rsid w:val="FEB1ED19"/>
    <w:rsid w:val="FEB77691"/>
    <w:rsid w:val="FEBF24F2"/>
    <w:rsid w:val="FED65E1B"/>
    <w:rsid w:val="FEDF028B"/>
    <w:rsid w:val="FEE16CAD"/>
    <w:rsid w:val="FEE7361F"/>
    <w:rsid w:val="FEEA5682"/>
    <w:rsid w:val="FEEFC340"/>
    <w:rsid w:val="FEF55E2F"/>
    <w:rsid w:val="FEF5B0C7"/>
    <w:rsid w:val="FEF9F82C"/>
    <w:rsid w:val="FEFB4A7C"/>
    <w:rsid w:val="FEFBEA7E"/>
    <w:rsid w:val="FEFBF393"/>
    <w:rsid w:val="FEFD127D"/>
    <w:rsid w:val="FEFF1E10"/>
    <w:rsid w:val="FEFF3DBB"/>
    <w:rsid w:val="FEFF4F31"/>
    <w:rsid w:val="FEFF94DF"/>
    <w:rsid w:val="FF1AABC4"/>
    <w:rsid w:val="FF1B59AF"/>
    <w:rsid w:val="FF2A4953"/>
    <w:rsid w:val="FF36BE75"/>
    <w:rsid w:val="FF36FBB3"/>
    <w:rsid w:val="FF371E6E"/>
    <w:rsid w:val="FF3B1C86"/>
    <w:rsid w:val="FF3D284E"/>
    <w:rsid w:val="FF3F08B2"/>
    <w:rsid w:val="FF3FA8F5"/>
    <w:rsid w:val="FF5E3DF4"/>
    <w:rsid w:val="FF5FDA72"/>
    <w:rsid w:val="FF65BDD9"/>
    <w:rsid w:val="FF6FCB21"/>
    <w:rsid w:val="FF73E799"/>
    <w:rsid w:val="FF76A6ED"/>
    <w:rsid w:val="FF77B9BB"/>
    <w:rsid w:val="FF78D305"/>
    <w:rsid w:val="FF799BF8"/>
    <w:rsid w:val="FF7C14B5"/>
    <w:rsid w:val="FF7E0C77"/>
    <w:rsid w:val="FF7E8A08"/>
    <w:rsid w:val="FF7E9367"/>
    <w:rsid w:val="FF7F031A"/>
    <w:rsid w:val="FF7FC5BD"/>
    <w:rsid w:val="FF867CC4"/>
    <w:rsid w:val="FF8A80E4"/>
    <w:rsid w:val="FF976642"/>
    <w:rsid w:val="FF9EA258"/>
    <w:rsid w:val="FF9F3FC4"/>
    <w:rsid w:val="FFA39878"/>
    <w:rsid w:val="FFA7DF9B"/>
    <w:rsid w:val="FFABABF2"/>
    <w:rsid w:val="FFABE7C2"/>
    <w:rsid w:val="FFAC7B42"/>
    <w:rsid w:val="FFAF9FC5"/>
    <w:rsid w:val="FFAFB616"/>
    <w:rsid w:val="FFAFFA09"/>
    <w:rsid w:val="FFB55CBE"/>
    <w:rsid w:val="FFB7159A"/>
    <w:rsid w:val="FFB99DEA"/>
    <w:rsid w:val="FFBCA6C8"/>
    <w:rsid w:val="FFBDC17A"/>
    <w:rsid w:val="FFBE6C46"/>
    <w:rsid w:val="FFBFC04A"/>
    <w:rsid w:val="FFBFE4C5"/>
    <w:rsid w:val="FFCB4A15"/>
    <w:rsid w:val="FFCDCD08"/>
    <w:rsid w:val="FFD406E3"/>
    <w:rsid w:val="FFD98F6A"/>
    <w:rsid w:val="FFDB6D48"/>
    <w:rsid w:val="FFDB9F5B"/>
    <w:rsid w:val="FFDD978F"/>
    <w:rsid w:val="FFDE8312"/>
    <w:rsid w:val="FFDEC1AC"/>
    <w:rsid w:val="FFDF2EF9"/>
    <w:rsid w:val="FFDF7EDA"/>
    <w:rsid w:val="FFDF87E8"/>
    <w:rsid w:val="FFE90DE3"/>
    <w:rsid w:val="FFEB26D5"/>
    <w:rsid w:val="FFEDB06D"/>
    <w:rsid w:val="FFEEABF7"/>
    <w:rsid w:val="FFEF6B9A"/>
    <w:rsid w:val="FFEF7950"/>
    <w:rsid w:val="FFEF9118"/>
    <w:rsid w:val="FFEF944E"/>
    <w:rsid w:val="FFEFD11C"/>
    <w:rsid w:val="FFF52DD4"/>
    <w:rsid w:val="FFF60DB8"/>
    <w:rsid w:val="FFF7522D"/>
    <w:rsid w:val="FFF76BEC"/>
    <w:rsid w:val="FFF79DFC"/>
    <w:rsid w:val="FFF7E376"/>
    <w:rsid w:val="FFF7F400"/>
    <w:rsid w:val="FFF9F62C"/>
    <w:rsid w:val="FFFAA1D0"/>
    <w:rsid w:val="FFFAF11E"/>
    <w:rsid w:val="FFFBDBF4"/>
    <w:rsid w:val="FFFD54AF"/>
    <w:rsid w:val="FFFD7FA6"/>
    <w:rsid w:val="FFFDF8F8"/>
    <w:rsid w:val="FFFDFC71"/>
    <w:rsid w:val="FFFE7C11"/>
    <w:rsid w:val="FFFEB425"/>
    <w:rsid w:val="FFFF0F5E"/>
    <w:rsid w:val="FFFF187F"/>
    <w:rsid w:val="FFFF1BB6"/>
    <w:rsid w:val="FFFF3C37"/>
    <w:rsid w:val="FFFF5ABA"/>
    <w:rsid w:val="FFFF5DF7"/>
    <w:rsid w:val="FFFFB458"/>
    <w:rsid w:val="FFFFBB07"/>
    <w:rsid w:val="FFFFD7F3"/>
    <w:rsid w:val="FFFFEA78"/>
    <w:rsid w:val="FFFFF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640" w:firstLineChars="200"/>
    </w:pPr>
  </w:style>
  <w:style w:type="paragraph" w:styleId="3">
    <w:name w:val="Body Text Indent"/>
    <w:basedOn w:val="1"/>
    <w:qFormat/>
    <w:uiPriority w:val="99"/>
    <w:pPr>
      <w:spacing w:line="600" w:lineRule="atLeast"/>
      <w:ind w:firstLine="600"/>
    </w:pPr>
    <w:rPr>
      <w:rFonts w:ascii="仿宋_GB2312" w:hAnsi="Times New Roman" w:eastAsia="仿宋_GB2312"/>
      <w:b/>
      <w:bCs/>
      <w:sz w:val="30"/>
      <w:szCs w:val="30"/>
    </w:rPr>
  </w:style>
  <w:style w:type="paragraph" w:styleId="5">
    <w:name w:val="caption"/>
    <w:basedOn w:val="1"/>
    <w:next w:val="1"/>
    <w:qFormat/>
    <w:uiPriority w:val="0"/>
    <w:pPr>
      <w:suppressLineNumbers/>
      <w:spacing w:before="120" w:after="120"/>
    </w:pPr>
    <w:rPr>
      <w:i/>
      <w:iCs/>
      <w:sz w:val="24"/>
    </w:rPr>
  </w:style>
  <w:style w:type="paragraph" w:styleId="6">
    <w:name w:val="Body Text"/>
    <w:basedOn w:val="1"/>
    <w:next w:val="7"/>
    <w:qFormat/>
    <w:uiPriority w:val="0"/>
    <w:pPr>
      <w:spacing w:after="140" w:line="276" w:lineRule="auto"/>
    </w:pPr>
  </w:style>
  <w:style w:type="paragraph" w:customStyle="1" w:styleId="7">
    <w:name w:val="默认"/>
    <w:qFormat/>
    <w:uiPriority w:val="0"/>
    <w:rPr>
      <w:rFonts w:ascii="Helvetica" w:hAnsi="Helvetica" w:eastAsia="Helvetica" w:cs="Helvetica"/>
      <w:color w:val="000000"/>
      <w:sz w:val="22"/>
      <w:szCs w:val="22"/>
      <w:lang w:val="en-US" w:eastAsia="zh-CN" w:bidi="ar-SA"/>
    </w:rPr>
  </w:style>
  <w:style w:type="paragraph" w:styleId="8">
    <w:name w:val="Balloon Text"/>
    <w:basedOn w:val="1"/>
    <w:next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List"/>
    <w:basedOn w:val="6"/>
    <w:qFormat/>
    <w:uiPriority w:val="0"/>
  </w:style>
  <w:style w:type="paragraph" w:styleId="12">
    <w:name w:val="Normal (Web)"/>
    <w:basedOn w:val="1"/>
    <w:qFormat/>
    <w:uiPriority w:val="99"/>
    <w:pPr>
      <w:spacing w:before="100" w:beforeAutospacing="1" w:after="100" w:afterAutospacing="1"/>
      <w:jc w:val="left"/>
    </w:pPr>
    <w:rPr>
      <w:kern w:val="0"/>
      <w:sz w:val="24"/>
      <w:szCs w:val="24"/>
    </w:rPr>
  </w:style>
  <w:style w:type="paragraph" w:styleId="13">
    <w:name w:val="Title"/>
    <w:basedOn w:val="1"/>
    <w:next w:val="1"/>
    <w:qFormat/>
    <w:uiPriority w:val="0"/>
    <w:pPr>
      <w:jc w:val="center"/>
      <w:textAlignment w:val="baseline"/>
    </w:pPr>
    <w:rPr>
      <w:rFonts w:ascii="Cambria" w:hAnsi="Cambria"/>
      <w:b/>
      <w:sz w:val="32"/>
      <w:szCs w:val="32"/>
    </w:rPr>
  </w:style>
  <w:style w:type="character" w:styleId="16">
    <w:name w:val="Strong"/>
    <w:qFormat/>
    <w:uiPriority w:val="0"/>
    <w:rPr>
      <w:b/>
    </w:rPr>
  </w:style>
  <w:style w:type="character" w:styleId="17">
    <w:name w:val="page number"/>
    <w:basedOn w:val="15"/>
    <w:unhideWhenUsed/>
    <w:qFormat/>
    <w:uiPriority w:val="99"/>
  </w:style>
  <w:style w:type="character" w:customStyle="1" w:styleId="18">
    <w:name w:val="默认段落字体1"/>
    <w:qFormat/>
    <w:uiPriority w:val="0"/>
  </w:style>
  <w:style w:type="paragraph" w:customStyle="1" w:styleId="19">
    <w:name w:val="Index"/>
    <w:basedOn w:val="1"/>
    <w:qFormat/>
    <w:uiPriority w:val="0"/>
    <w:pPr>
      <w:suppressLineNumbers/>
    </w:pPr>
  </w:style>
  <w:style w:type="paragraph" w:customStyle="1" w:styleId="20">
    <w:name w:val="Heading"/>
    <w:basedOn w:val="1"/>
    <w:next w:val="6"/>
    <w:qFormat/>
    <w:uiPriority w:val="0"/>
    <w:pPr>
      <w:keepNext/>
      <w:spacing w:before="240" w:after="120"/>
    </w:pPr>
    <w:rPr>
      <w:rFonts w:ascii="Liberation Sans" w:hAnsi="Liberation Sans" w:eastAsia="Noto Sans CJK SC Regular" w:cs="Noto Sans CJK SC Regular"/>
      <w:sz w:val="28"/>
      <w:szCs w:val="28"/>
    </w:rPr>
  </w:style>
  <w:style w:type="paragraph" w:customStyle="1" w:styleId="21">
    <w:name w:val="NormalIndent"/>
    <w:basedOn w:val="1"/>
    <w:qFormat/>
    <w:uiPriority w:val="0"/>
    <w:pPr>
      <w:ind w:firstLine="567"/>
      <w:textAlignment w:val="baseline"/>
    </w:pPr>
  </w:style>
  <w:style w:type="paragraph" w:customStyle="1" w:styleId="22">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568</Words>
  <Characters>3239</Characters>
  <Lines>26</Lines>
  <Paragraphs>7</Paragraphs>
  <TotalTime>6</TotalTime>
  <ScaleCrop>false</ScaleCrop>
  <LinksUpToDate>false</LinksUpToDate>
  <CharactersWithSpaces>3800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2023-01-23T03:06:00Z</dcterms:created>
  <dc:creator>szfbtg</dc:creator>
  <cp:lastModifiedBy>szfbtg</cp:lastModifiedBy>
  <cp:lastPrinted>2024-01-25T06:00:00Z</cp:lastPrinted>
  <dcterms:modified xsi:type="dcterms:W3CDTF">2024-01-29T09:18:32Z</dcterms:modified>
  <dc:title>关于征求《重庆市人民政府机关2021年</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14074B66B5BB40E5BC72F72BDBAFC27E_13</vt:lpwstr>
  </property>
</Properties>
</file>